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jc w:val="right"/>
        <w:rPr>
          <w:b/>
          <w:bCs/>
          <w:spacing w:val="56"/>
          <w:sz w:val="24"/>
          <w:szCs w:val="24"/>
        </w:rPr>
      </w:pPr>
      <w:r>
        <w:rPr>
          <w:b/>
          <w:bCs/>
          <w:spacing w:val="56"/>
          <w:sz w:val="24"/>
          <w:szCs w:val="24"/>
        </w:rPr>
        <w:t xml:space="preserve">ПРОЕКТ</w:t>
      </w:r>
      <w:r>
        <w:rPr>
          <w:b/>
          <w:bCs/>
          <w:spacing w:val="56"/>
          <w:sz w:val="24"/>
          <w:szCs w:val="24"/>
        </w:rPr>
      </w:r>
      <w:r>
        <w:rPr>
          <w:b/>
          <w:bCs/>
          <w:spacing w:val="56"/>
          <w:sz w:val="24"/>
          <w:szCs w:val="24"/>
        </w:rPr>
      </w:r>
    </w:p>
    <w:p>
      <w:pPr>
        <w:pStyle w:val="842"/>
        <w:jc w:val="center"/>
        <w:rPr>
          <w:b/>
          <w:bCs/>
          <w:spacing w:val="56"/>
          <w:sz w:val="16"/>
          <w:szCs w:val="16"/>
        </w:rPr>
      </w:pPr>
      <w:r>
        <w:rPr>
          <w:highlight w:val="none"/>
        </w:rPr>
      </w:r>
      <w:r>
        <w:rPr>
          <w:highlight w:val="none"/>
        </w:rPr>
      </w:r>
      <w:r>
        <w:rPr>
          <w:b/>
          <w:bCs/>
          <w:spacing w:val="56"/>
          <w:sz w:val="16"/>
          <w:szCs w:val="16"/>
        </w:rPr>
      </w:r>
    </w:p>
    <w:p>
      <w:pPr>
        <w:pStyle w:val="842"/>
        <w:jc w:val="center"/>
        <w:rPr>
          <w:highlight w:val="none"/>
        </w:rPr>
      </w:pPr>
      <w:r>
        <w:rPr>
          <w:b/>
          <w:bCs/>
          <w:spacing w:val="56"/>
          <w:sz w:val="36"/>
        </w:rPr>
        <w:t xml:space="preserve">РОССИЙСКАЯ ФЕДЕРАЦИЯ</w:t>
      </w:r>
      <w:bookmarkStart w:id="0" w:name="_GoBack"/>
      <w:r/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842"/>
        <w:jc w:val="center"/>
        <w:rPr>
          <w:b/>
          <w:bCs/>
        </w:rPr>
      </w:pPr>
      <w:r>
        <w:rPr>
          <w:b/>
          <w:bCs/>
        </w:rPr>
        <w:t xml:space="preserve">АДМИНИСТРАЦИЯ </w:t>
      </w:r>
      <w:r>
        <w:rPr>
          <w:b/>
          <w:bCs/>
        </w:rPr>
        <w:t xml:space="preserve">МУНИЦИПАЛЬНОГО ОКРУГА </w:t>
      </w:r>
      <w:r>
        <w:rPr>
          <w:b/>
          <w:bCs/>
        </w:rPr>
      </w:r>
      <w:r>
        <w:rPr>
          <w:b/>
          <w:bCs/>
        </w:rPr>
      </w:r>
    </w:p>
    <w:p>
      <w:pPr>
        <w:pStyle w:val="842"/>
        <w:jc w:val="center"/>
        <w:rPr>
          <w:b/>
          <w:bCs/>
          <w:spacing w:val="56"/>
        </w:rPr>
      </w:pPr>
      <w:r>
        <w:rPr>
          <w:b/>
          <w:bCs/>
        </w:rPr>
        <w:t xml:space="preserve">СУЕТСК</w:t>
      </w:r>
      <w:r>
        <w:rPr>
          <w:b/>
          <w:bCs/>
        </w:rPr>
        <w:t xml:space="preserve">ИЙ</w:t>
      </w:r>
      <w:r>
        <w:rPr>
          <w:b/>
          <w:bCs/>
        </w:rPr>
        <w:t xml:space="preserve"> РАЙОН АЛТАЙСКОГО КРАЯ</w:t>
      </w:r>
      <w:r>
        <w:rPr>
          <w:b/>
          <w:bCs/>
          <w:spacing w:val="56"/>
        </w:rPr>
      </w:r>
      <w:r>
        <w:rPr>
          <w:b/>
          <w:bCs/>
          <w:spacing w:val="56"/>
        </w:rPr>
      </w:r>
    </w:p>
    <w:p>
      <w:r/>
      <w:r/>
    </w:p>
    <w:p>
      <w:pPr>
        <w:pStyle w:val="843"/>
        <w:rPr>
          <w:caps/>
          <w:spacing w:val="25"/>
        </w:rPr>
      </w:pPr>
      <w:r>
        <w:rPr>
          <w:caps/>
          <w:spacing w:val="25"/>
        </w:rPr>
        <w:t xml:space="preserve">постановлЕНИЕ </w:t>
      </w:r>
      <w:r>
        <w:rPr>
          <w:caps/>
          <w:spacing w:val="25"/>
        </w:rPr>
      </w:r>
      <w:r>
        <w:rPr>
          <w:caps/>
          <w:spacing w:val="25"/>
        </w:rPr>
      </w:r>
    </w:p>
    <w:p>
      <w:pPr>
        <w:rPr>
          <w:b/>
          <w:bCs/>
          <w:spacing w:val="56"/>
        </w:rPr>
      </w:pPr>
      <w:r>
        <w:rPr>
          <w:b/>
          <w:bCs/>
          <w:spacing w:val="56"/>
        </w:rPr>
      </w:r>
      <w:r>
        <w:rPr>
          <w:b/>
          <w:bCs/>
          <w:spacing w:val="56"/>
        </w:rPr>
      </w:r>
      <w:r>
        <w:rPr>
          <w:b/>
          <w:bCs/>
          <w:spacing w:val="56"/>
        </w:rPr>
      </w:r>
    </w:p>
    <w:tbl>
      <w:tblPr>
        <w:tblW w:w="9998" w:type="dxa"/>
        <w:tblInd w:w="33" w:type="dxa"/>
        <w:tblLook w:val="04A0" w:firstRow="1" w:lastRow="0" w:firstColumn="1" w:lastColumn="0" w:noHBand="0" w:noVBand="1"/>
      </w:tblPr>
      <w:tblGrid>
        <w:gridCol w:w="4200"/>
        <w:gridCol w:w="1030"/>
        <w:gridCol w:w="2195"/>
        <w:gridCol w:w="465"/>
        <w:gridCol w:w="1410"/>
        <w:gridCol w:w="698"/>
      </w:tblGrid>
      <w:tr>
        <w:tblPrEx/>
        <w:trPr>
          <w:gridAfter w:val="1"/>
          <w:trHeight w:val="307"/>
        </w:trPr>
        <w:tc>
          <w:tcPr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4200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______  ____________ 2025</w:t>
            </w:r>
            <w:r>
              <w:rPr>
                <w:b/>
                <w:bCs/>
                <w:sz w:val="24"/>
                <w:szCs w:val="24"/>
              </w:rPr>
              <w:t xml:space="preserve">г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322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№__</w:t>
            </w:r>
            <w:r>
              <w:rPr>
                <w:b/>
                <w:bCs/>
                <w:sz w:val="24"/>
                <w:szCs w:val="24"/>
              </w:rPr>
              <w:t xml:space="preserve">__</w:t>
            </w:r>
            <w:r>
              <w:rPr>
                <w:b/>
                <w:bCs/>
                <w:sz w:val="24"/>
                <w:szCs w:val="24"/>
              </w:rPr>
              <w:t xml:space="preserve">__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auto" w:sz="12" w:space="0"/>
              <w:right w:val="none" w:color="000000" w:sz="4" w:space="0"/>
            </w:tcBorders>
            <w:tcW w:w="1875" w:type="dxa"/>
            <w:textDirection w:val="lrTb"/>
            <w:noWrap w:val="false"/>
          </w:tcPr>
          <w:p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. Верх-Суетка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393"/>
        </w:trPr>
        <w:tc>
          <w:tcPr>
            <w:gridSpan w:val="2"/>
            <w:tcBorders>
              <w:top w:val="single" w:color="auto" w:sz="12" w:space="0"/>
              <w:bottom w:val="none" w:color="000000" w:sz="4" w:space="0"/>
            </w:tcBorders>
            <w:tcW w:w="5230" w:type="dxa"/>
            <w:textDirection w:val="lrTb"/>
            <w:noWrap w:val="false"/>
          </w:tcPr>
          <w:p>
            <w:r/>
            <w:r/>
          </w:p>
          <w:tbl>
            <w:tblPr>
              <w:tblStyle w:val="849"/>
              <w:tblW w:w="501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A0" w:firstRow="1" w:lastRow="0" w:firstColumn="1" w:lastColumn="0" w:noHBand="0" w:noVBand="1"/>
            </w:tblPr>
            <w:tblGrid>
              <w:gridCol w:w="5014"/>
            </w:tblGrid>
            <w:tr>
              <w:tblPrEx/>
              <w:trPr>
                <w:trHeight w:val="713"/>
              </w:trPr>
              <w:tc>
                <w:tcPr>
                  <w:tcW w:w="5014" w:type="dxa"/>
                  <w:textDirection w:val="lrTb"/>
                  <w:noWrap w:val="false"/>
                </w:tcPr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</w:t>
                  </w:r>
                  <w:r>
                    <w:rPr>
                      <w:sz w:val="28"/>
                      <w:szCs w:val="28"/>
                    </w:rPr>
                    <w:t xml:space="preserve">б </w:t>
                  </w:r>
                  <w:r>
                    <w:rPr>
                      <w:sz w:val="28"/>
                      <w:szCs w:val="28"/>
                    </w:rPr>
                    <w:t xml:space="preserve">утверждении </w:t>
                  </w:r>
                  <w:r>
                    <w:rPr>
                      <w:sz w:val="28"/>
                      <w:szCs w:val="28"/>
                    </w:rPr>
                    <w:t xml:space="preserve">Программы (плана) профилактики рисков причинения вреда (ущерба) охраняемым законом ценностям по муниципальному земельному контролю на территории муниципального </w:t>
                  </w:r>
                  <w:r>
                    <w:rPr>
                      <w:sz w:val="28"/>
                      <w:szCs w:val="28"/>
                    </w:rPr>
                    <w:t xml:space="preserve">округа 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Суетский</w:t>
                  </w:r>
                  <w:r>
                    <w:rPr>
                      <w:sz w:val="28"/>
                      <w:szCs w:val="28"/>
                    </w:rPr>
                    <w:t xml:space="preserve"> район Алтайского края на 2026</w:t>
                  </w:r>
                  <w:r>
                    <w:rPr>
                      <w:sz w:val="28"/>
                      <w:szCs w:val="28"/>
                    </w:rPr>
                    <w:t xml:space="preserve"> год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  <w:p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  <w:r>
                    <w:rPr>
                      <w:sz w:val="28"/>
                      <w:szCs w:val="28"/>
                    </w:rPr>
                  </w:r>
                </w:p>
              </w:tc>
            </w:tr>
          </w:tbl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12" w:space="0"/>
              <w:bottom w:val="none" w:color="000000" w:sz="4" w:space="0"/>
            </w:tcBorders>
            <w:tcW w:w="2660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  <w:tc>
          <w:tcPr>
            <w:gridSpan w:val="2"/>
            <w:tcBorders>
              <w:top w:val="single" w:color="auto" w:sz="12" w:space="0"/>
              <w:bottom w:val="none" w:color="000000" w:sz="4" w:space="0"/>
            </w:tcBorders>
            <w:tcW w:w="2108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</w:tbl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В соответствии  с частью 1 ст. 8.2 ст. 8.3 Федерального закона от 26.12.2008 года № 294-ФЗ «О защите прав  юридических лиц  и индивидуальных предпринимателей при осуществлении  государственного контроля (надзора)  и муниципального контроля»,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en-US"/>
        </w:rPr>
        <w:t xml:space="preserve"> ст. 44 Федерального закона от 31.07.2020 № 248-ФЗ «О государственном контроле (надзоре) и муниципальном контроле в Российской Федерации», ст. 17.1 Федерального закона от 06.10.2003 № 131-ФЗ «Об общих принципах организации местного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en-US"/>
        </w:rPr>
        <w:t xml:space="preserve"> самоуправления в Российс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en-US" w:bidi="en-US"/>
        </w:rPr>
        <w:t xml:space="preserve">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bidi="ar-SA"/>
        </w:rPr>
        <w:t xml:space="preserve">Уставом  муниципального округа Суетский район Алтайского края,</w:t>
      </w:r>
      <w:r>
        <w:rPr>
          <w:rFonts w:ascii="Times New Roman" w:hAnsi="Times New Roman" w:eastAsia="Times New Roman" w:cs="Times New Roman"/>
          <w:color w:val="auto"/>
          <w:sz w:val="26"/>
          <w:szCs w:val="26"/>
          <w:lang w:bidi="ar-SA"/>
        </w:rPr>
        <w:t xml:space="preserve"> </w:t>
      </w:r>
      <w:r>
        <w:rPr>
          <w:sz w:val="28"/>
          <w:szCs w:val="28"/>
        </w:rPr>
        <w:t xml:space="preserve">постановляю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55"/>
        <w:numPr>
          <w:ilvl w:val="0"/>
          <w:numId w:val="1"/>
        </w:numPr>
        <w:ind w:left="0" w:firstLine="708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>
        <w:rPr>
          <w:sz w:val="28"/>
          <w:szCs w:val="28"/>
        </w:rPr>
        <w:t xml:space="preserve">Программу профилактики рисков причинения вреда (ущерба) охраняемым законом ценностям при осуществлении на территории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Суетск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район Алтайского края  муниципального земельного контроля на 2026</w:t>
      </w:r>
      <w:r>
        <w:rPr>
          <w:sz w:val="28"/>
          <w:szCs w:val="28"/>
        </w:rPr>
        <w:t xml:space="preserve"> год.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Признать утратившим силу Постановление Администрации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Суетск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 Алтайского края от 05</w:t>
      </w:r>
      <w:r>
        <w:rPr>
          <w:sz w:val="28"/>
          <w:szCs w:val="28"/>
        </w:rPr>
        <w:t xml:space="preserve">.12</w:t>
      </w:r>
      <w:r>
        <w:rPr>
          <w:sz w:val="28"/>
          <w:szCs w:val="28"/>
        </w:rPr>
        <w:t xml:space="preserve">.2024 № </w:t>
      </w:r>
      <w:r>
        <w:rPr>
          <w:sz w:val="28"/>
          <w:szCs w:val="28"/>
        </w:rPr>
        <w:t xml:space="preserve">245 </w:t>
      </w:r>
      <w:r>
        <w:rPr>
          <w:sz w:val="28"/>
          <w:szCs w:val="28"/>
        </w:rPr>
        <w:t xml:space="preserve">«Об утверждении Программы (плана) профилактики рисков причинения вреда (ущерба) охраняемым законом ценностям по муниципальному земельному контролю на территории муниципального округа </w:t>
      </w:r>
      <w:r>
        <w:rPr>
          <w:sz w:val="28"/>
          <w:szCs w:val="28"/>
        </w:rPr>
        <w:t xml:space="preserve">Суетский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район Алтайского края на 2025 год».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Разместить</w:t>
      </w:r>
      <w:r>
        <w:rPr>
          <w:sz w:val="28"/>
          <w:szCs w:val="28"/>
        </w:rPr>
        <w:t xml:space="preserve"> настоящее постановление на официальном сайте Администрации </w:t>
      </w: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 xml:space="preserve">Суетск</w:t>
      </w:r>
      <w:r>
        <w:rPr>
          <w:sz w:val="28"/>
          <w:szCs w:val="28"/>
        </w:rPr>
        <w:t xml:space="preserve">ий</w:t>
      </w:r>
      <w:r>
        <w:rPr>
          <w:sz w:val="28"/>
          <w:szCs w:val="28"/>
        </w:rPr>
        <w:t xml:space="preserve"> район Алтайского края  в информационно-телекоммуникационной сети «Интернет»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 xml:space="preserve">с 01.01.2026 года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4.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Контроль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исполнени</w:t>
      </w:r>
      <w:r>
        <w:rPr>
          <w:sz w:val="28"/>
          <w:szCs w:val="28"/>
        </w:rPr>
        <w:t xml:space="preserve">я</w:t>
      </w:r>
      <w:r>
        <w:rPr>
          <w:sz w:val="28"/>
          <w:szCs w:val="28"/>
        </w:rPr>
        <w:t xml:space="preserve"> настоящего постановления </w:t>
      </w:r>
      <w:r>
        <w:rPr>
          <w:sz w:val="28"/>
          <w:szCs w:val="28"/>
        </w:rPr>
        <w:t xml:space="preserve">возложить на заместителя главы Администрации </w:t>
      </w:r>
      <w:r>
        <w:rPr>
          <w:sz w:val="28"/>
          <w:szCs w:val="28"/>
        </w:rPr>
        <w:t xml:space="preserve">муниципального округа</w:t>
      </w:r>
      <w:r>
        <w:rPr>
          <w:sz w:val="28"/>
          <w:szCs w:val="28"/>
        </w:rPr>
        <w:t xml:space="preserve"> по экономике, председателя комитета по финансам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tabs>
          <w:tab w:val="left" w:pos="0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868" w:type="dxa"/>
        <w:tblLook w:val="04A0" w:firstRow="1" w:lastRow="0" w:firstColumn="1" w:lastColumn="0" w:noHBand="0" w:noVBand="1"/>
      </w:tblPr>
      <w:tblGrid>
        <w:gridCol w:w="9571"/>
        <w:gridCol w:w="297"/>
      </w:tblGrid>
      <w:tr>
        <w:tblPrEx/>
        <w:trPr/>
        <w:tc>
          <w:tcPr>
            <w:tcW w:w="9571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>
              <w:rPr>
                <w:sz w:val="28"/>
                <w:szCs w:val="28"/>
              </w:rPr>
              <w:t xml:space="preserve">                                 </w:t>
            </w:r>
            <w:r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 xml:space="preserve">Н.Н.Долгова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55"/>
        <w:ind w:left="0"/>
      </w:pPr>
      <w:r/>
      <w:r/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  <w:highlight w:val="none"/>
        </w:rPr>
        <w:outlineLvl w:val="0"/>
      </w:pPr>
      <w:r>
        <w:rPr>
          <w:rFonts w:ascii="Times New Roman" w:hAnsi="Times New Roman" w:cs="Times New Roman"/>
          <w:sz w:val="20"/>
          <w:szCs w:val="20"/>
        </w:rPr>
        <w:t xml:space="preserve">Пр</w:t>
      </w:r>
      <w:r>
        <w:rPr>
          <w:rFonts w:ascii="Times New Roman" w:hAnsi="Times New Roman" w:cs="Times New Roman"/>
          <w:sz w:val="20"/>
          <w:szCs w:val="20"/>
        </w:rPr>
        <w:t xml:space="preserve">иложение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муниципального округа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6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Суетск</w:t>
      </w:r>
      <w:r>
        <w:rPr>
          <w:rFonts w:ascii="Times New Roman" w:hAnsi="Times New Roman" w:cs="Times New Roman"/>
          <w:sz w:val="20"/>
          <w:szCs w:val="20"/>
        </w:rPr>
        <w:t xml:space="preserve">ий</w:t>
      </w:r>
      <w:r>
        <w:rPr>
          <w:rFonts w:ascii="Times New Roman" w:hAnsi="Times New Roman" w:cs="Times New Roman"/>
          <w:sz w:val="20"/>
          <w:szCs w:val="20"/>
        </w:rPr>
        <w:t xml:space="preserve"> район Алтайского края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5"/>
        <w:jc w:val="right"/>
      </w:pPr>
      <w:r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от </w:t>
      </w:r>
      <w:r>
        <w:rPr>
          <w:sz w:val="20"/>
          <w:szCs w:val="20"/>
        </w:rPr>
        <w:t xml:space="preserve"> ______2025</w:t>
      </w:r>
      <w:r>
        <w:rPr>
          <w:sz w:val="20"/>
          <w:szCs w:val="20"/>
        </w:rPr>
        <w:t xml:space="preserve"> г. № ______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rPr>
          <w:b/>
          <w:sz w:val="28"/>
          <w:szCs w:val="28"/>
        </w:rPr>
      </w:pPr>
      <w:r/>
      <w:bookmarkStart w:id="1" w:name="P37"/>
      <w:r/>
      <w:bookmarkEnd w:id="1"/>
      <w:r>
        <w:rPr>
          <w:b/>
          <w:sz w:val="28"/>
          <w:szCs w:val="28"/>
        </w:rPr>
        <w:t xml:space="preserve">Программа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профилактики рисков причинения вреда (ущерба)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охраняемым законом ценностям </w:t>
      </w:r>
      <w:r>
        <w:rPr>
          <w:b/>
          <w:sz w:val="28"/>
        </w:rPr>
        <w:t xml:space="preserve">при</w:t>
      </w:r>
      <w:r>
        <w:rPr>
          <w:b/>
          <w:spacing w:val="10"/>
          <w:sz w:val="28"/>
        </w:rPr>
        <w:t xml:space="preserve"> </w:t>
      </w:r>
      <w:r>
        <w:rPr>
          <w:b/>
          <w:sz w:val="28"/>
        </w:rPr>
        <w:t xml:space="preserve">осуществлении</w:t>
      </w:r>
      <w:r>
        <w:rPr>
          <w:b/>
          <w:spacing w:val="11"/>
          <w:sz w:val="28"/>
        </w:rPr>
        <w:t xml:space="preserve"> </w:t>
      </w:r>
      <w:r>
        <w:rPr>
          <w:b/>
          <w:sz w:val="28"/>
        </w:rPr>
        <w:t xml:space="preserve">муниципального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 xml:space="preserve">земельного</w:t>
      </w:r>
      <w:r>
        <w:rPr>
          <w:b/>
          <w:spacing w:val="12"/>
          <w:sz w:val="28"/>
        </w:rPr>
        <w:t xml:space="preserve"> </w:t>
      </w:r>
      <w:r>
        <w:rPr>
          <w:b/>
          <w:sz w:val="28"/>
        </w:rPr>
        <w:t xml:space="preserve">контроля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на 2026 год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numPr>
          <w:ilvl w:val="0"/>
          <w:numId w:val="7"/>
        </w:numPr>
        <w:jc w:val="center"/>
        <w:spacing w:after="200" w:line="276" w:lineRule="auto"/>
        <w:widowControl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Анализ подконтрольной сферы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ind w:firstLine="708"/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 25 июня 2021 г.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 рисков причинения вреда (ущерба) охраняемым законом ценностям при осуществлении муниципального земельного контроля в границах муниципального округа Суетский район (далее – муниципальный земельный контроль).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ab/>
        <w:t xml:space="preserve">При осуществлении муниципального земельного контроля администрацией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 осуществляет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контроль за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 соблюдением: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ab/>
        <w:t xml:space="preserve">а) обязательных требований о недопущении самовольного занятия земельных участков, в том числе использования земельных участков лицом, не имеющим предусмотренных законодательством прав на них;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ab/>
        <w:t xml:space="preserve">б)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ab/>
        <w:t xml:space="preserve">в) обязательных требований, связанных с обязательным использованием земельных участков,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ab/>
        <w:t xml:space="preserve">г) обязательных требований, связанных с обязанностью по приведению земельных участков в состояние, пригодное для использования по целевому назначению;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ab/>
        <w:t xml:space="preserve">д) исполнения предписаний об устранении нарушений обязательных требований, выданных должностными лицами, уполномоченными осуществлять муниципальный земельный контроль, в пределах их компетенции.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ab/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Подконтрольными субъектами муниципального земельного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 контроля являются юридические лица, индивидуальные предприниматели и граждане, самовольно использующие земельные участки в границах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, а так же обладающие правом владения, пользования, распоряжения землями, земельными участками, часть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ю земельного участка в границах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 в целях личного использования, ведения хозяйственной или иной деятельности, при котором могут быть допущены нарушения обязательных требований, требований, установленных муниципальными правовыми актами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, оценка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соблюдения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 которых является предметом муниципального земельного контроля.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ab/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Постановлением Правительства Российской Федерации от 10 марта 2022г. №336 «Об особенностях организации и осуществления государственного контроля (надзора), муниципального контроля» в 2025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г. плановые контрольные (надзорные) мероприятия не проводились.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left="20" w:right="140" w:firstLine="700"/>
        <w:jc w:val="both"/>
        <w:spacing w:line="274" w:lineRule="exact"/>
        <w:rPr>
          <w:rFonts w:ascii="Times New Roman" w:hAnsi="Times New Roman" w:eastAsia="Times New Roman" w:cs="Times New Roman"/>
          <w:spacing w:val="4"/>
        </w:rPr>
      </w:pP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В ходе проведения мероприятий по профилактике нарушений обязательных требований направленных на предупреждение нарушений при проведении муниципального земельного контроля осуществлялись следующие мероприятия: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</w:r>
      <w:r>
        <w:rPr>
          <w:rFonts w:ascii="Times New Roman" w:hAnsi="Times New Roman" w:eastAsia="Times New Roman" w:cs="Times New Roman"/>
          <w:spacing w:val="4"/>
        </w:rPr>
      </w:r>
    </w:p>
    <w:p>
      <w:pPr>
        <w:numPr>
          <w:ilvl w:val="0"/>
          <w:numId w:val="6"/>
        </w:numPr>
        <w:ind w:left="20" w:right="140" w:firstLine="700"/>
        <w:jc w:val="both"/>
        <w:spacing w:line="274" w:lineRule="exact"/>
        <w:rPr>
          <w:rFonts w:ascii="Times New Roman" w:hAnsi="Times New Roman" w:eastAsia="Times New Roman" w:cs="Times New Roman"/>
          <w:spacing w:val="4"/>
        </w:rPr>
      </w:pP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размеще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н на официальном сайте органов местного самоуправления муниципального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eastAsia="en-US" w:bidi="en-US"/>
        </w:rPr>
        <w:t xml:space="preserve">муниципального округа Суетский район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  <w:t xml:space="preserve"> перечень нормативных правовых актов, содержащих обязательные требования, оценка соблюдения которых является предметом муниципального земельного контроля.</w:t>
      </w:r>
      <w:r>
        <w:rPr>
          <w:rFonts w:ascii="Times New Roman" w:hAnsi="Times New Roman" w:eastAsia="Times New Roman" w:cs="Times New Roman"/>
          <w:spacing w:val="4"/>
          <w:sz w:val="24"/>
          <w:szCs w:val="24"/>
        </w:rPr>
      </w:r>
      <w:r>
        <w:rPr>
          <w:rFonts w:ascii="Times New Roman" w:hAnsi="Times New Roman" w:eastAsia="Times New Roman" w:cs="Times New Roman"/>
          <w:spacing w:val="4"/>
        </w:rPr>
      </w:r>
    </w:p>
    <w:p>
      <w:pPr>
        <w:ind w:right="140"/>
        <w:jc w:val="both"/>
        <w:spacing w:line="274" w:lineRule="exact"/>
        <w:rPr>
          <w:rFonts w:ascii="Times New Roman" w:hAnsi="Times New Roman" w:eastAsia="Times New Roman" w:cs="Times New Roman"/>
          <w:spacing w:val="4"/>
        </w:rPr>
      </w:pPr>
      <w:r>
        <w:rPr>
          <w:rFonts w:ascii="Times New Roman" w:hAnsi="Times New Roman" w:eastAsia="Times New Roman" w:cs="Times New Roman"/>
          <w:spacing w:val="4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pacing w:val="4"/>
          <w:sz w:val="24"/>
          <w:szCs w:val="24"/>
          <w:highlight w:val="none"/>
        </w:rPr>
      </w:r>
    </w:p>
    <w:p>
      <w:pPr>
        <w:ind w:left="360"/>
        <w:jc w:val="center"/>
        <w:widowControl/>
        <w:rPr>
          <w:rFonts w:ascii="Times New Roman" w:hAnsi="Times New Roman" w:eastAsia="Times New Roman" w:cs="Times New Roman"/>
          <w:b/>
          <w:color w:val="auto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2. Цели и задачи реализации программы профилактики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</w:rPr>
      </w:r>
      <w:r>
        <w:rPr>
          <w:rFonts w:ascii="Times New Roman" w:hAnsi="Times New Roman" w:eastAsia="Times New Roman" w:cs="Times New Roman"/>
          <w:b/>
          <w:color w:va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Цели профилактических мероприятий: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1. Стимулирование добросовестного соблюдения обязательных требований всеми контролируемыми лицами;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widowControl/>
        <w:rPr>
          <w:rFonts w:ascii="Times New Roman" w:hAnsi="Times New Roman" w:eastAsia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  <w:t xml:space="preserve">Проведение профилактических мероприятий программы профилактики направлено на решение следующих задач: </w:t>
      </w:r>
      <w:r>
        <w:rPr>
          <w:rFonts w:ascii="Times New Roman" w:hAnsi="Times New Roman" w:eastAsia="Times New Roman" w:cs="Times New Roman"/>
          <w:color w:val="auto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  <w:color w:val="auto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1.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крепление системы профилактики нарушений рисков причинения вреда (ущерба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) охраняемым законом ценностям.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2.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П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овышение правосознания и правовой культуры руководителей юридических лиц, индивидуальных предпринимателей и граждан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3.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4. В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устранения или снижения угрозы.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5.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О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ценка состояния подконтрольной среды и установление зависимости видов и интенсивности профилактических мероприятий от присвоенных конт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ролируемым лицам уровней риска.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</w:p>
    <w:p>
      <w:pPr>
        <w:ind w:firstLine="709"/>
        <w:jc w:val="both"/>
        <w:spacing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auto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3. П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лан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 профилактических мероприятий, сроки (периодичность) их проведения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 на 2026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год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.</w:t>
      </w:r>
      <w:r>
        <w:rPr>
          <w:rFonts w:ascii="Times New Roman" w:hAnsi="Times New Roman" w:eastAsia="Times New Roman" w:cs="Times New Roman"/>
          <w:b/>
          <w:color w:val="auto"/>
          <w:sz w:val="24"/>
          <w:szCs w:val="24"/>
          <w:lang w:bidi="ar-SA"/>
        </w:rPr>
        <w:t xml:space="preserve">  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97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586"/>
        <w:gridCol w:w="4517"/>
        <w:gridCol w:w="2127"/>
        <w:gridCol w:w="2551"/>
      </w:tblGrid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</w:t>
            </w:r>
            <w:r>
              <w:rPr>
                <w:b/>
              </w:rPr>
              <w:t xml:space="preserve">/п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51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Сведения о мероприятии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Срок реализации мероприятия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Ответственный исполнитель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</w:pPr>
            <w:r>
              <w:t xml:space="preserve">1</w:t>
            </w:r>
            <w:r/>
          </w:p>
        </w:tc>
        <w:tc>
          <w:tcPr>
            <w:tcW w:w="4517" w:type="dxa"/>
            <w:textDirection w:val="lrTb"/>
            <w:noWrap w:val="false"/>
          </w:tcPr>
          <w:p>
            <w:pPr>
              <w:jc w:val="both"/>
              <w:outlineLvl w:val="2"/>
            </w:pPr>
            <w:r>
              <w:t xml:space="preserve">Поддержание в актуальном состоянии перечня нормативных правовых актов или отдельных их частей, содержащих обязательные требования, оценка соблюдения которых является предметом муниципального земельного контроля на официальном сайте Администрации </w:t>
            </w:r>
            <w:r>
              <w:t xml:space="preserve">муниципального округа </w:t>
            </w:r>
            <w:r>
              <w:t xml:space="preserve">Суетский</w:t>
            </w:r>
            <w:r>
              <w:t xml:space="preserve"> район </w:t>
            </w:r>
            <w:r>
              <w:t xml:space="preserve"> Алтайского края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</w:t>
            </w:r>
            <w:r>
              <w:t xml:space="preserve">и</w:t>
            </w:r>
            <w:r>
              <w:t xml:space="preserve"> года (по мере необходимости)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</w:pPr>
            <w:r>
              <w:t xml:space="preserve">Отдел по имущественным и земельным отношениям администрации муниципального округа </w:t>
            </w:r>
            <w:r>
              <w:t xml:space="preserve">Суетский</w:t>
            </w:r>
            <w:r>
              <w:t xml:space="preserve"> район Алтайского края</w:t>
            </w:r>
            <w:r/>
          </w:p>
        </w:tc>
      </w:tr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</w:pPr>
            <w:r>
              <w:t xml:space="preserve">2</w:t>
            </w:r>
            <w:r/>
          </w:p>
        </w:tc>
        <w:tc>
          <w:tcPr>
            <w:tcW w:w="4517" w:type="dxa"/>
            <w:textDirection w:val="lrTb"/>
            <w:noWrap w:val="false"/>
          </w:tcPr>
          <w:p>
            <w:pPr>
              <w:jc w:val="both"/>
              <w:outlineLvl w:val="2"/>
            </w:pPr>
            <w:r>
              <w:t xml:space="preserve">Осуществление информирования юридических лиц, индивидуа</w:t>
            </w:r>
            <w:r>
              <w:t xml:space="preserve">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разъяснительной работы в средствах массовой информации и иными способами.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</w:t>
            </w:r>
            <w:r>
              <w:t xml:space="preserve">и</w:t>
            </w:r>
            <w:r>
              <w:t xml:space="preserve"> года (по мере необходимости)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</w:pPr>
            <w:r>
              <w:t xml:space="preserve">Отдел по имущественным и земельным отношениям администрации муниципального округа </w:t>
            </w:r>
            <w:r>
              <w:t xml:space="preserve">Суетский</w:t>
            </w:r>
            <w:r>
              <w:t xml:space="preserve"> район Алтайского края</w:t>
            </w:r>
            <w:r/>
          </w:p>
        </w:tc>
      </w:tr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</w:pPr>
            <w:r>
              <w:t xml:space="preserve">3</w:t>
            </w:r>
            <w:r/>
          </w:p>
        </w:tc>
        <w:tc>
          <w:tcPr>
            <w:tcW w:w="4517" w:type="dxa"/>
            <w:textDirection w:val="lrTb"/>
            <w:noWrap w:val="false"/>
          </w:tcPr>
          <w:p>
            <w:pPr>
              <w:jc w:val="both"/>
              <w:outlineLvl w:val="2"/>
            </w:pPr>
            <w:r>
              <w:t xml:space="preserve">В случае изменения обязательных требований – подготовка и распространение комментариев о содержании новых нормативных правовых актов, устанавливающих обязательные тре</w:t>
            </w:r>
            <w:r>
              <w:t xml:space="preserve">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требований.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t xml:space="preserve">В течени</w:t>
            </w:r>
            <w:r>
              <w:t xml:space="preserve">и</w:t>
            </w:r>
            <w:r>
              <w:t xml:space="preserve"> года (по мере необходимости)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</w:pPr>
            <w:r>
              <w:t xml:space="preserve">Отдел по имущественным и земельным отношениям администрации муниципального округа </w:t>
            </w:r>
            <w:r>
              <w:t xml:space="preserve">Суетский</w:t>
            </w:r>
            <w:r>
              <w:t xml:space="preserve"> район Алтайского края</w:t>
            </w:r>
            <w:r/>
          </w:p>
        </w:tc>
      </w:tr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</w:pPr>
            <w:r>
              <w:t xml:space="preserve">4</w:t>
            </w:r>
            <w:r/>
          </w:p>
        </w:tc>
        <w:tc>
          <w:tcPr>
            <w:tcW w:w="4517" w:type="dxa"/>
            <w:textDirection w:val="lrTb"/>
            <w:noWrap w:val="false"/>
          </w:tcPr>
          <w:p>
            <w:pPr>
              <w:jc w:val="both"/>
              <w:outlineLvl w:val="2"/>
            </w:pPr>
            <w:r>
              <w:t xml:space="preserve">Обеспечение регулярного (не реже одного раза в год) обобщения практики осуществления муниципального земельного контроля и размещение на официальном сайте Администрации </w:t>
            </w:r>
            <w:r>
              <w:t xml:space="preserve">муниципального округа </w:t>
            </w:r>
            <w:r>
              <w:t xml:space="preserve">Суетский</w:t>
            </w:r>
            <w:r>
              <w:t xml:space="preserve"> район Алтайского края в сети «Интернет» соответствующих о</w:t>
            </w:r>
            <w:r>
              <w:t xml:space="preserve">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t xml:space="preserve">Январь 2026 г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</w:pPr>
            <w:r>
              <w:t xml:space="preserve">Отдел по имущественным и земельным отношениям администрации муниципального округа </w:t>
            </w:r>
            <w:r>
              <w:t xml:space="preserve">Суетский</w:t>
            </w:r>
            <w:r>
              <w:t xml:space="preserve"> район Алтайского края</w:t>
            </w:r>
            <w:r/>
          </w:p>
        </w:tc>
      </w:tr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  <w:tc>
          <w:tcPr>
            <w:tcW w:w="4517" w:type="dxa"/>
            <w:textDirection w:val="lrTb"/>
            <w:noWrap w:val="false"/>
          </w:tcPr>
          <w:p>
            <w:pPr>
              <w:jc w:val="both"/>
              <w:outlineLvl w:val="2"/>
            </w:pPr>
            <w:r>
              <w:t xml:space="preserve">Объявление предостережений, предусмотренных статьей 49 Федерального закона от 31.07.2020 г. № 248-ФЗ «О государственном контроле (надзоре) и муниципальном контроле в Российской Федерации».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t xml:space="preserve">Постоянно при наличии оснований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</w:pPr>
            <w:r>
              <w:t xml:space="preserve">Отдел по имущественным и земельным отношениям администрации муниципального округа </w:t>
            </w:r>
            <w:r>
              <w:t xml:space="preserve">Суетский</w:t>
            </w:r>
            <w:r>
              <w:t xml:space="preserve"> район Алтайского края</w:t>
            </w:r>
            <w:r/>
          </w:p>
        </w:tc>
      </w:tr>
      <w:tr>
        <w:tblPrEx/>
        <w:trPr/>
        <w:tc>
          <w:tcPr>
            <w:tcW w:w="586" w:type="dxa"/>
            <w:textDirection w:val="lrTb"/>
            <w:noWrap w:val="false"/>
          </w:tcPr>
          <w:p>
            <w:pPr>
              <w:jc w:val="center"/>
            </w:pPr>
            <w:r>
              <w:t xml:space="preserve">6</w:t>
            </w:r>
            <w:r/>
          </w:p>
        </w:tc>
        <w:tc>
          <w:tcPr>
            <w:tcW w:w="4517" w:type="dxa"/>
            <w:textDirection w:val="lrTb"/>
            <w:noWrap w:val="false"/>
          </w:tcPr>
          <w:p>
            <w:pPr>
              <w:jc w:val="both"/>
              <w:outlineLvl w:val="2"/>
            </w:pPr>
            <w:r>
              <w:t xml:space="preserve">Разработка и утверждение Программы профилактики нарушений обязательных требований в сфере муниципального земельного контроля.</w:t>
            </w:r>
            <w:r/>
          </w:p>
        </w:tc>
        <w:tc>
          <w:tcPr>
            <w:tcW w:w="2127" w:type="dxa"/>
            <w:textDirection w:val="lrTb"/>
            <w:noWrap w:val="false"/>
          </w:tcPr>
          <w:p>
            <w:pPr>
              <w:jc w:val="center"/>
            </w:pPr>
            <w:r>
              <w:t xml:space="preserve">д</w:t>
            </w:r>
            <w:r>
              <w:t xml:space="preserve">о 20 декабря </w:t>
            </w:r>
            <w:r>
              <w:t xml:space="preserve">2025</w:t>
            </w:r>
            <w:r>
              <w:t xml:space="preserve"> г.</w:t>
            </w:r>
            <w:r/>
          </w:p>
        </w:tc>
        <w:tc>
          <w:tcPr>
            <w:tcW w:w="2551" w:type="dxa"/>
            <w:textDirection w:val="lrTb"/>
            <w:noWrap w:val="false"/>
          </w:tcPr>
          <w:p>
            <w:pPr>
              <w:jc w:val="center"/>
            </w:pPr>
            <w:r>
              <w:t xml:space="preserve">Отдел по имущественным и земельным отношениям администрации муниципального округа </w:t>
            </w:r>
            <w:r>
              <w:t xml:space="preserve">Суетский</w:t>
            </w:r>
            <w:r>
              <w:t xml:space="preserve"> район Алтайского края</w:t>
            </w:r>
            <w:r/>
          </w:p>
        </w:tc>
      </w:tr>
    </w:tbl>
    <w:p>
      <w:pPr>
        <w:ind w:firstLine="708"/>
        <w:jc w:val="both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Консультирование контролируемых лиц осуществляется должностным лицом, уполномоченным осуществлять муниципальный земельный контроль по телефону, либо в ходе проведения профилактических мероприятий, контрольных мероприятий и не должно превышать 15 минут.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ab/>
        <w:t xml:space="preserve">Консультирование осуществляется в устной или письменной форме по следующим вопросам: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ab/>
        <w:t xml:space="preserve">а) организация и осуществление муниципального земельного контроля;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ab/>
        <w:t xml:space="preserve">б) порядок осуществления контрольных мероприятий, установленных положением по осуществлению муниципального земельного контроля в границах </w:t>
      </w:r>
      <w:r>
        <w:rPr>
          <w:rFonts w:ascii="Times New Roman" w:hAnsi="Times New Roman" w:eastAsia="Times New Roman" w:cs="Times New Roman"/>
          <w:sz w:val="24"/>
          <w:szCs w:val="24"/>
          <w:lang w:eastAsia="ar-SA" w:bidi="ar-SA"/>
        </w:rPr>
        <w:t xml:space="preserve">муниципального округа Суетский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район;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ab/>
        <w:t xml:space="preserve">г) получение информации о нормативных правовых актах (их отдельных положениях), содержащих обязательные требования, оценка соблюдения которы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х осуществляется администрацией </w:t>
      </w:r>
      <w:r>
        <w:rPr>
          <w:rFonts w:ascii="Times New Roman" w:hAnsi="Times New Roman" w:eastAsia="Times New Roman" w:cs="Times New Roman"/>
          <w:sz w:val="24"/>
          <w:szCs w:val="24"/>
          <w:lang w:eastAsia="ar-SA" w:bidi="ar-SA"/>
        </w:rPr>
        <w:t xml:space="preserve">муниципального округа Суетский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район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 в рамках контрольных мероприятий.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ab/>
        <w:t xml:space="preserve">Консультирование в письменной форме осуществляется должностным лицом, уполномоченным осуществлять муниципальный земельный контроль, в следующих случаях: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ab/>
        <w:t xml:space="preserve">а) контролируемым лицом представлен письменный запрос о представлении письменного ответа по вопросам консультирования;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widowControl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ab/>
        <w:t xml:space="preserve">б) за время консультирования предоставить ответ на поставленные вопросы невозможно; 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widowControl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ab/>
        <w:t xml:space="preserve">в) ответ на поставленные вопросы требует д</w:t>
      </w:r>
      <w:r>
        <w:rPr>
          <w:rFonts w:ascii="Times New Roman" w:hAnsi="Times New Roman" w:eastAsia="Times New Roman" w:cs="Times New Roman"/>
          <w:sz w:val="24"/>
          <w:szCs w:val="24"/>
          <w:lang w:bidi="ar-SA"/>
        </w:rPr>
        <w:t xml:space="preserve">ополнительного запроса сведений.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highlight w:val="none"/>
        </w:rPr>
      </w:r>
    </w:p>
    <w:p>
      <w:pPr>
        <w:jc w:val="both"/>
        <w:widowControl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8"/>
          <w:highlight w:val="none"/>
        </w:rPr>
      </w:r>
      <w:r>
        <w:rPr>
          <w:rFonts w:ascii="Times New Roman" w:hAnsi="Times New Roman" w:cs="Times New Roman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Показатели результативности и эффективности программы профилактики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9179" w:type="dxa"/>
        <w:tblInd w:w="3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5"/>
        <w:gridCol w:w="4393"/>
        <w:gridCol w:w="1986"/>
        <w:gridCol w:w="1985"/>
      </w:tblGrid>
      <w:tr>
        <w:tblPrEx/>
        <w:trPr>
          <w:trHeight w:val="984"/>
        </w:trPr>
        <w:tc>
          <w:tcPr>
            <w:shd w:val="clear" w:color="auto" w:fill="auto"/>
            <w:tcBorders>
              <w:bottom w:val="single" w:color="000000" w:sz="1" w:space="0"/>
            </w:tcBorders>
            <w:tcW w:w="815" w:type="dxa"/>
            <w:textDirection w:val="lrTb"/>
            <w:noWrap w:val="false"/>
          </w:tcPr>
          <w:p>
            <w:pPr>
              <w:pStyle w:val="862"/>
              <w:ind w:left="107" w:right="141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№</w:t>
            </w:r>
            <w:r>
              <w:rPr>
                <w:rFonts w:eastAsia="Calibri"/>
                <w:spacing w:val="-67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</w:t>
            </w:r>
            <w:r>
              <w:rPr>
                <w:rFonts w:eastAsia="Calibri"/>
                <w:sz w:val="20"/>
                <w:szCs w:val="20"/>
              </w:rPr>
              <w:t xml:space="preserve">/п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1" w:space="0"/>
            </w:tcBorders>
            <w:tcW w:w="4393" w:type="dxa"/>
            <w:textDirection w:val="lrTb"/>
            <w:noWrap w:val="false"/>
          </w:tcPr>
          <w:p>
            <w:pPr>
              <w:pStyle w:val="862"/>
              <w:ind w:left="426" w:right="144" w:hanging="224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Наименование</w:t>
            </w:r>
            <w:r>
              <w:rPr>
                <w:rFonts w:eastAsia="Calibri"/>
                <w:spacing w:val="-67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показателя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1" w:space="0"/>
            </w:tcBorders>
            <w:tcW w:w="1986" w:type="dxa"/>
            <w:textDirection w:val="lrTb"/>
            <w:noWrap w:val="false"/>
          </w:tcPr>
          <w:p>
            <w:pPr>
              <w:pStyle w:val="862"/>
              <w:ind w:left="558" w:right="548"/>
              <w:jc w:val="center"/>
              <w:spacing w:line="318" w:lineRule="exact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Методика</w:t>
            </w:r>
            <w:r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расчета</w:t>
            </w:r>
            <w:r>
              <w:rPr>
                <w:rFonts w:eastAsia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показателя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bottom w:val="single" w:color="000000" w:sz="1" w:space="0"/>
            </w:tcBorders>
            <w:tcW w:w="1985" w:type="dxa"/>
            <w:textDirection w:val="lrTb"/>
            <w:noWrap w:val="false"/>
          </w:tcPr>
          <w:p>
            <w:pPr>
              <w:pStyle w:val="862"/>
              <w:ind w:left="287" w:right="142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Планируемый </w:t>
            </w:r>
            <w:r>
              <w:rPr>
                <w:rFonts w:eastAsia="Calibri"/>
                <w:spacing w:val="-68"/>
                <w:sz w:val="20"/>
                <w:szCs w:val="20"/>
              </w:rPr>
              <w:t xml:space="preserve">     </w:t>
            </w:r>
            <w:r>
              <w:rPr>
                <w:rFonts w:eastAsia="Calibri"/>
                <w:sz w:val="20"/>
                <w:szCs w:val="20"/>
              </w:rPr>
              <w:t xml:space="preserve">показатель на </w:t>
            </w:r>
            <w:r>
              <w:rPr>
                <w:rFonts w:eastAsia="Calibri"/>
                <w:spacing w:val="-67"/>
                <w:sz w:val="20"/>
                <w:szCs w:val="20"/>
              </w:rPr>
              <w:t xml:space="preserve">    </w:t>
            </w:r>
            <w:r>
              <w:rPr>
                <w:rFonts w:eastAsia="Calibri"/>
                <w:sz w:val="20"/>
                <w:szCs w:val="20"/>
              </w:rPr>
              <w:t xml:space="preserve">2024</w:t>
            </w:r>
            <w:r>
              <w:rPr>
                <w:rFonts w:eastAsia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год</w:t>
            </w:r>
            <w:r>
              <w:rPr>
                <w:rFonts w:eastAsia="Calibri"/>
                <w:sz w:val="20"/>
                <w:szCs w:val="20"/>
              </w:rPr>
            </w:r>
            <w:r>
              <w:rPr>
                <w:rFonts w:eastAsia="Calibri"/>
                <w:sz w:val="20"/>
                <w:szCs w:val="20"/>
              </w:rPr>
            </w:r>
          </w:p>
        </w:tc>
      </w:tr>
      <w:tr>
        <w:tblPrEx/>
        <w:trPr>
          <w:trHeight w:val="341"/>
        </w:trPr>
        <w:tc>
          <w:tcPr>
            <w:shd w:val="clear" w:color="auto" w:fill="auto"/>
            <w:tcBorders>
              <w:top w:val="single" w:color="000000" w:sz="1" w:space="0"/>
            </w:tcBorders>
            <w:tcW w:w="815" w:type="dxa"/>
            <w:textDirection w:val="lrTb"/>
            <w:noWrap w:val="false"/>
          </w:tcPr>
          <w:p>
            <w:pPr>
              <w:pStyle w:val="862"/>
              <w:ind w:left="8"/>
              <w:jc w:val="center"/>
              <w:spacing w:before="12" w:line="30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1" w:space="0"/>
            </w:tcBorders>
            <w:tcW w:w="4393" w:type="dxa"/>
            <w:textDirection w:val="lrTb"/>
            <w:noWrap w:val="false"/>
          </w:tcPr>
          <w:p>
            <w:pPr>
              <w:pStyle w:val="862"/>
              <w:ind w:left="7"/>
              <w:jc w:val="center"/>
              <w:spacing w:before="12" w:line="30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1" w:space="0"/>
            </w:tcBorders>
            <w:tcW w:w="1986" w:type="dxa"/>
            <w:textDirection w:val="lrTb"/>
            <w:noWrap w:val="false"/>
          </w:tcPr>
          <w:p>
            <w:pPr>
              <w:pStyle w:val="862"/>
              <w:ind w:left="9"/>
              <w:jc w:val="center"/>
              <w:spacing w:before="12" w:line="30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0000" w:sz="1" w:space="0"/>
            </w:tcBorders>
            <w:tcW w:w="1985" w:type="dxa"/>
            <w:textDirection w:val="lrTb"/>
            <w:noWrap w:val="false"/>
          </w:tcPr>
          <w:p>
            <w:pPr>
              <w:pStyle w:val="862"/>
              <w:ind w:left="7"/>
              <w:jc w:val="center"/>
              <w:spacing w:before="12" w:line="308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730"/>
        </w:trPr>
        <w:tc>
          <w:tcPr>
            <w:shd w:val="clear" w:color="auto" w:fill="auto"/>
            <w:tcW w:w="81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spacing w:after="200" w:line="276" w:lineRule="auto"/>
              <w:widowControl/>
              <w:rPr>
                <w:rFonts w:ascii="Times New Roman" w:hAnsi="Times New Roman" w:eastAsia="Times New Roman" w:cs="Times New Roman"/>
                <w:color w:va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 w:bidi="en-US"/>
              </w:rPr>
              <w:t xml:space="preserve">Удовлетворенность контролируемых лиц и их представителями консультированием</w:t>
            </w: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lang w:eastAsia="en-US" w:bidi="en-US"/>
              </w:rPr>
            </w:r>
            <w:r>
              <w:rPr>
                <w:rFonts w:ascii="Times New Roman" w:hAnsi="Times New Roman" w:eastAsia="Times New Roman" w:cs="Times New Roman"/>
                <w:color w:val="auto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100 % от числа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обратившихся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862"/>
              <w:ind w:left="104"/>
              <w:spacing w:line="31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100%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  <w:tr>
        <w:tblPrEx/>
        <w:trPr>
          <w:trHeight w:val="2153"/>
        </w:trPr>
        <w:tc>
          <w:tcPr>
            <w:shd w:val="clear" w:color="auto" w:fill="auto"/>
            <w:tcW w:w="815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jc w:val="both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Полнота информации, размещенной на официальном сайте администрации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 w:bidi="ar-SA"/>
              </w:rPr>
              <w:t xml:space="preserve">муниципального округа Суетский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район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1986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  <w:t xml:space="preserve">100 %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bidi="ar-SA"/>
              </w:rPr>
            </w:r>
            <w:r>
              <w:rPr>
                <w:rFonts w:ascii="Times New Roman" w:hAnsi="Times New Roman" w:eastAsia="Times New Roman" w:cs="Times New Roman"/>
              </w:rPr>
            </w:r>
          </w:p>
        </w:tc>
        <w:tc>
          <w:tcPr>
            <w:shd w:val="clear" w:color="auto" w:fill="auto"/>
            <w:tcW w:w="1985" w:type="dxa"/>
            <w:textDirection w:val="lrTb"/>
            <w:noWrap w:val="false"/>
          </w:tcPr>
          <w:p>
            <w:pPr>
              <w:pStyle w:val="862"/>
              <w:ind w:left="104"/>
              <w:spacing w:line="315" w:lineRule="exac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100%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862"/>
              <w:ind w:left="104" w:right="203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(при отсутствии</w:t>
            </w:r>
            <w:r>
              <w:rPr>
                <w:rFonts w:eastAsia="Calibri"/>
                <w:spacing w:val="-68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обращений показа-</w:t>
            </w:r>
            <w:r>
              <w:rPr>
                <w:rFonts w:eastAsia="Calibri"/>
                <w:sz w:val="24"/>
                <w:szCs w:val="24"/>
              </w:rPr>
              <w:t xml:space="preserve">тель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равен</w:t>
            </w:r>
            <w:r>
              <w:rPr>
                <w:rFonts w:eastAsia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100%)</w:t>
            </w:r>
            <w:r>
              <w:rPr>
                <w:rFonts w:eastAsia="Calibri"/>
                <w:sz w:val="24"/>
                <w:szCs w:val="24"/>
              </w:rPr>
            </w:r>
            <w:r>
              <w:rPr>
                <w:rFonts w:eastAsia="Calibri"/>
                <w:sz w:val="24"/>
                <w:szCs w:val="24"/>
              </w:rPr>
            </w:r>
          </w:p>
        </w:tc>
      </w:tr>
    </w:tbl>
    <w:p>
      <w:pPr>
        <w:pStyle w:val="855"/>
        <w:ind w:left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284" w:right="850" w:bottom="538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Courier New">
    <w:panose1 w:val="020704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99" w:hanging="281"/>
      </w:pPr>
      <w:rPr>
        <w:rFonts w:hint="default" w:ascii="Times New Roman" w:hAnsi="Times New Roman" w:eastAsia="Times New Roman" w:cs="Times New Roman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4245" w:hanging="281"/>
        <w:jc w:val="right"/>
      </w:pPr>
      <w:rPr>
        <w:rFonts w:hint="default" w:ascii="Times New Roman" w:hAnsi="Times New Roman" w:eastAsia="Times New Roman" w:cs="Times New Roman"/>
        <w:b/>
        <w:bCs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4945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5650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6355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7060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7765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8470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9176" w:hanging="281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18" w:hanging="492"/>
      </w:pPr>
      <w:rPr>
        <w:rFonts w:hint="default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18" w:hanging="492"/>
      </w:pPr>
      <w:rPr>
        <w:rFonts w:hint="default" w:ascii="Times New Roman" w:hAnsi="Times New Roman" w:eastAsia="Times New Roman" w:cs="Times New Roman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373" w:hanging="49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399" w:hanging="49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426" w:hanging="49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453" w:hanging="49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479" w:hanging="49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06" w:hanging="49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33" w:hanging="49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position w:val="0"/>
        <w:sz w:val="21"/>
        <w:szCs w:val="21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8">
    <w:name w:val="Heading 1 Char"/>
    <w:basedOn w:val="844"/>
    <w:link w:val="842"/>
    <w:uiPriority w:val="9"/>
    <w:rPr>
      <w:rFonts w:ascii="Arial" w:hAnsi="Arial" w:eastAsia="Arial" w:cs="Arial"/>
      <w:sz w:val="40"/>
      <w:szCs w:val="40"/>
    </w:rPr>
  </w:style>
  <w:style w:type="paragraph" w:styleId="669">
    <w:name w:val="Heading 2"/>
    <w:basedOn w:val="841"/>
    <w:next w:val="841"/>
    <w:link w:val="67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0">
    <w:name w:val="Heading 2 Char"/>
    <w:basedOn w:val="844"/>
    <w:link w:val="669"/>
    <w:uiPriority w:val="9"/>
    <w:rPr>
      <w:rFonts w:ascii="Arial" w:hAnsi="Arial" w:eastAsia="Arial" w:cs="Arial"/>
      <w:sz w:val="34"/>
    </w:rPr>
  </w:style>
  <w:style w:type="character" w:styleId="671">
    <w:name w:val="Heading 3 Char"/>
    <w:basedOn w:val="844"/>
    <w:link w:val="843"/>
    <w:uiPriority w:val="9"/>
    <w:rPr>
      <w:rFonts w:ascii="Arial" w:hAnsi="Arial" w:eastAsia="Arial" w:cs="Arial"/>
      <w:sz w:val="30"/>
      <w:szCs w:val="30"/>
    </w:rPr>
  </w:style>
  <w:style w:type="paragraph" w:styleId="672">
    <w:name w:val="Heading 4"/>
    <w:basedOn w:val="841"/>
    <w:next w:val="841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3">
    <w:name w:val="Heading 4 Char"/>
    <w:basedOn w:val="844"/>
    <w:link w:val="672"/>
    <w:uiPriority w:val="9"/>
    <w:rPr>
      <w:rFonts w:ascii="Arial" w:hAnsi="Arial" w:eastAsia="Arial" w:cs="Arial"/>
      <w:b/>
      <w:bCs/>
      <w:sz w:val="26"/>
      <w:szCs w:val="26"/>
    </w:rPr>
  </w:style>
  <w:style w:type="paragraph" w:styleId="674">
    <w:name w:val="Heading 5"/>
    <w:basedOn w:val="841"/>
    <w:next w:val="841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5">
    <w:name w:val="Heading 5 Char"/>
    <w:basedOn w:val="844"/>
    <w:link w:val="674"/>
    <w:uiPriority w:val="9"/>
    <w:rPr>
      <w:rFonts w:ascii="Arial" w:hAnsi="Arial" w:eastAsia="Arial" w:cs="Arial"/>
      <w:b/>
      <w:bCs/>
      <w:sz w:val="24"/>
      <w:szCs w:val="24"/>
    </w:rPr>
  </w:style>
  <w:style w:type="paragraph" w:styleId="676">
    <w:name w:val="Heading 6"/>
    <w:basedOn w:val="841"/>
    <w:next w:val="841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7">
    <w:name w:val="Heading 6 Char"/>
    <w:basedOn w:val="844"/>
    <w:link w:val="676"/>
    <w:uiPriority w:val="9"/>
    <w:rPr>
      <w:rFonts w:ascii="Arial" w:hAnsi="Arial" w:eastAsia="Arial" w:cs="Arial"/>
      <w:b/>
      <w:bCs/>
      <w:sz w:val="22"/>
      <w:szCs w:val="22"/>
    </w:rPr>
  </w:style>
  <w:style w:type="paragraph" w:styleId="678">
    <w:name w:val="Heading 7"/>
    <w:basedOn w:val="841"/>
    <w:next w:val="841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9">
    <w:name w:val="Heading 7 Char"/>
    <w:basedOn w:val="844"/>
    <w:link w:val="67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0">
    <w:name w:val="Heading 8"/>
    <w:basedOn w:val="841"/>
    <w:next w:val="841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1">
    <w:name w:val="Heading 8 Char"/>
    <w:basedOn w:val="844"/>
    <w:link w:val="680"/>
    <w:uiPriority w:val="9"/>
    <w:rPr>
      <w:rFonts w:ascii="Arial" w:hAnsi="Arial" w:eastAsia="Arial" w:cs="Arial"/>
      <w:i/>
      <w:iCs/>
      <w:sz w:val="22"/>
      <w:szCs w:val="22"/>
    </w:rPr>
  </w:style>
  <w:style w:type="paragraph" w:styleId="682">
    <w:name w:val="Heading 9"/>
    <w:basedOn w:val="841"/>
    <w:next w:val="841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>
    <w:name w:val="Heading 9 Char"/>
    <w:basedOn w:val="844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84">
    <w:name w:val="Title"/>
    <w:basedOn w:val="841"/>
    <w:next w:val="841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basedOn w:val="844"/>
    <w:link w:val="684"/>
    <w:uiPriority w:val="10"/>
    <w:rPr>
      <w:sz w:val="48"/>
      <w:szCs w:val="48"/>
    </w:rPr>
  </w:style>
  <w:style w:type="paragraph" w:styleId="686">
    <w:name w:val="Subtitle"/>
    <w:basedOn w:val="841"/>
    <w:next w:val="841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basedOn w:val="844"/>
    <w:link w:val="686"/>
    <w:uiPriority w:val="11"/>
    <w:rPr>
      <w:sz w:val="24"/>
      <w:szCs w:val="24"/>
    </w:rPr>
  </w:style>
  <w:style w:type="paragraph" w:styleId="688">
    <w:name w:val="Quote"/>
    <w:basedOn w:val="841"/>
    <w:next w:val="841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1"/>
    <w:next w:val="841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1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basedOn w:val="844"/>
    <w:link w:val="692"/>
    <w:uiPriority w:val="99"/>
  </w:style>
  <w:style w:type="paragraph" w:styleId="694">
    <w:name w:val="Footer"/>
    <w:basedOn w:val="841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basedOn w:val="844"/>
    <w:link w:val="694"/>
    <w:uiPriority w:val="99"/>
  </w:style>
  <w:style w:type="paragraph" w:styleId="696">
    <w:name w:val="Caption"/>
    <w:basedOn w:val="841"/>
    <w:next w:val="841"/>
    <w:link w:val="69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 Light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Plain Table 1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0">
    <w:name w:val="Plain Table 2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2">
    <w:name w:val="Plain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Plain Table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4">
    <w:name w:val="Grid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6">
    <w:name w:val="Grid Table 4 - Accent 1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7">
    <w:name w:val="Grid Table 4 - Accent 2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8">
    <w:name w:val="Grid Table 4 - Accent 3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9">
    <w:name w:val="Grid Table 4 - Accent 4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0">
    <w:name w:val="Grid Table 4 - Accent 5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1">
    <w:name w:val="Grid Table 4 - Accent 6"/>
    <w:basedOn w:val="84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2">
    <w:name w:val="Grid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6">
    <w:name w:val="Grid Table 5 Dark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7">
    <w:name w:val="Grid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9">
    <w:name w:val="Grid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0">
    <w:name w:val="Grid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1">
    <w:name w:val="Grid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2">
    <w:name w:val="Grid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3">
    <w:name w:val="Grid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4">
    <w:name w:val="Grid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5">
    <w:name w:val="Grid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1">
    <w:name w:val="List Table 2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2">
    <w:name w:val="List Table 2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3">
    <w:name w:val="List Table 2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4">
    <w:name w:val="List Table 2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5">
    <w:name w:val="List Table 2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6">
    <w:name w:val="List Table 2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5 Dark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6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9">
    <w:name w:val="List Table 6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0">
    <w:name w:val="List Table 6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1">
    <w:name w:val="List Table 6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2">
    <w:name w:val="List Table 6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3">
    <w:name w:val="List Table 6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4">
    <w:name w:val="List Table 6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5">
    <w:name w:val="List Table 7 Colorful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6">
    <w:name w:val="List Table 7 Colorful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7">
    <w:name w:val="List Table 7 Colorful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8">
    <w:name w:val="List Table 7 Colorful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9">
    <w:name w:val="List Table 7 Colorful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0">
    <w:name w:val="List Table 7 Colorful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1">
    <w:name w:val="List Table 7 Colorful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02">
    <w:name w:val="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4">
    <w:name w:val="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5">
    <w:name w:val="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6">
    <w:name w:val="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7">
    <w:name w:val="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8">
    <w:name w:val="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9">
    <w:name w:val="Bordered &amp; Lined - Accent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0">
    <w:name w:val="Bordered &amp; Lined - Accent 1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1">
    <w:name w:val="Bordered &amp; Lined - Accent 2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2">
    <w:name w:val="Bordered &amp; Lined - Accent 3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3">
    <w:name w:val="Bordered &amp; Lined - Accent 4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4">
    <w:name w:val="Bordered &amp; Lined - Accent 5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5">
    <w:name w:val="Bordered &amp; Lined - Accent 6"/>
    <w:basedOn w:val="84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6">
    <w:name w:val="Bordered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7">
    <w:name w:val="Bordered - Accent 1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8">
    <w:name w:val="Bordered - Accent 2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9">
    <w:name w:val="Bordered - Accent 3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0">
    <w:name w:val="Bordered - Accent 4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1">
    <w:name w:val="Bordered - Accent 5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2">
    <w:name w:val="Bordered - Accent 6"/>
    <w:basedOn w:val="84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3">
    <w:name w:val="Hyperlink"/>
    <w:uiPriority w:val="99"/>
    <w:unhideWhenUsed/>
    <w:rPr>
      <w:color w:val="0000ff" w:themeColor="hyperlink"/>
      <w:u w:val="single"/>
    </w:rPr>
  </w:style>
  <w:style w:type="paragraph" w:styleId="824">
    <w:name w:val="footnote text"/>
    <w:basedOn w:val="841"/>
    <w:link w:val="825"/>
    <w:uiPriority w:val="99"/>
    <w:semiHidden/>
    <w:unhideWhenUsed/>
    <w:pPr>
      <w:spacing w:after="40" w:line="240" w:lineRule="auto"/>
    </w:pPr>
    <w:rPr>
      <w:sz w:val="18"/>
    </w:rPr>
  </w:style>
  <w:style w:type="character" w:styleId="825">
    <w:name w:val="Footnote Text Char"/>
    <w:link w:val="824"/>
    <w:uiPriority w:val="99"/>
    <w:rPr>
      <w:sz w:val="18"/>
    </w:rPr>
  </w:style>
  <w:style w:type="character" w:styleId="826">
    <w:name w:val="footnote reference"/>
    <w:basedOn w:val="844"/>
    <w:uiPriority w:val="99"/>
    <w:unhideWhenUsed/>
    <w:rPr>
      <w:vertAlign w:val="superscript"/>
    </w:rPr>
  </w:style>
  <w:style w:type="paragraph" w:styleId="827">
    <w:name w:val="endnote text"/>
    <w:basedOn w:val="841"/>
    <w:link w:val="828"/>
    <w:uiPriority w:val="99"/>
    <w:semiHidden/>
    <w:unhideWhenUsed/>
    <w:pPr>
      <w:spacing w:after="0" w:line="240" w:lineRule="auto"/>
    </w:pPr>
    <w:rPr>
      <w:sz w:val="20"/>
    </w:rPr>
  </w:style>
  <w:style w:type="character" w:styleId="828">
    <w:name w:val="Endnote Text Char"/>
    <w:link w:val="827"/>
    <w:uiPriority w:val="99"/>
    <w:rPr>
      <w:sz w:val="20"/>
    </w:rPr>
  </w:style>
  <w:style w:type="character" w:styleId="829">
    <w:name w:val="endnote reference"/>
    <w:basedOn w:val="844"/>
    <w:uiPriority w:val="99"/>
    <w:semiHidden/>
    <w:unhideWhenUsed/>
    <w:rPr>
      <w:vertAlign w:val="superscript"/>
    </w:rPr>
  </w:style>
  <w:style w:type="paragraph" w:styleId="830">
    <w:name w:val="toc 1"/>
    <w:basedOn w:val="841"/>
    <w:next w:val="841"/>
    <w:uiPriority w:val="39"/>
    <w:unhideWhenUsed/>
    <w:pPr>
      <w:ind w:left="0" w:right="0" w:firstLine="0"/>
      <w:spacing w:after="57"/>
    </w:pPr>
  </w:style>
  <w:style w:type="paragraph" w:styleId="831">
    <w:name w:val="toc 2"/>
    <w:basedOn w:val="841"/>
    <w:next w:val="841"/>
    <w:uiPriority w:val="39"/>
    <w:unhideWhenUsed/>
    <w:pPr>
      <w:ind w:left="283" w:right="0" w:firstLine="0"/>
      <w:spacing w:after="57"/>
    </w:pPr>
  </w:style>
  <w:style w:type="paragraph" w:styleId="832">
    <w:name w:val="toc 3"/>
    <w:basedOn w:val="841"/>
    <w:next w:val="841"/>
    <w:uiPriority w:val="39"/>
    <w:unhideWhenUsed/>
    <w:pPr>
      <w:ind w:left="567" w:right="0" w:firstLine="0"/>
      <w:spacing w:after="57"/>
    </w:pPr>
  </w:style>
  <w:style w:type="paragraph" w:styleId="833">
    <w:name w:val="toc 4"/>
    <w:basedOn w:val="841"/>
    <w:next w:val="841"/>
    <w:uiPriority w:val="39"/>
    <w:unhideWhenUsed/>
    <w:pPr>
      <w:ind w:left="850" w:right="0" w:firstLine="0"/>
      <w:spacing w:after="57"/>
    </w:pPr>
  </w:style>
  <w:style w:type="paragraph" w:styleId="834">
    <w:name w:val="toc 5"/>
    <w:basedOn w:val="841"/>
    <w:next w:val="841"/>
    <w:uiPriority w:val="39"/>
    <w:unhideWhenUsed/>
    <w:pPr>
      <w:ind w:left="1134" w:right="0" w:firstLine="0"/>
      <w:spacing w:after="57"/>
    </w:pPr>
  </w:style>
  <w:style w:type="paragraph" w:styleId="835">
    <w:name w:val="toc 6"/>
    <w:basedOn w:val="841"/>
    <w:next w:val="841"/>
    <w:uiPriority w:val="39"/>
    <w:unhideWhenUsed/>
    <w:pPr>
      <w:ind w:left="1417" w:right="0" w:firstLine="0"/>
      <w:spacing w:after="57"/>
    </w:pPr>
  </w:style>
  <w:style w:type="paragraph" w:styleId="836">
    <w:name w:val="toc 7"/>
    <w:basedOn w:val="841"/>
    <w:next w:val="841"/>
    <w:uiPriority w:val="39"/>
    <w:unhideWhenUsed/>
    <w:pPr>
      <w:ind w:left="1701" w:right="0" w:firstLine="0"/>
      <w:spacing w:after="57"/>
    </w:pPr>
  </w:style>
  <w:style w:type="paragraph" w:styleId="837">
    <w:name w:val="toc 8"/>
    <w:basedOn w:val="841"/>
    <w:next w:val="841"/>
    <w:uiPriority w:val="39"/>
    <w:unhideWhenUsed/>
    <w:pPr>
      <w:ind w:left="1984" w:right="0" w:firstLine="0"/>
      <w:spacing w:after="57"/>
    </w:pPr>
  </w:style>
  <w:style w:type="paragraph" w:styleId="838">
    <w:name w:val="toc 9"/>
    <w:basedOn w:val="841"/>
    <w:next w:val="841"/>
    <w:uiPriority w:val="39"/>
    <w:unhideWhenUsed/>
    <w:pPr>
      <w:ind w:left="2268" w:right="0" w:firstLine="0"/>
      <w:spacing w:after="57"/>
    </w:pPr>
  </w:style>
  <w:style w:type="paragraph" w:styleId="839">
    <w:name w:val="TOC Heading"/>
    <w:uiPriority w:val="39"/>
    <w:unhideWhenUsed/>
  </w:style>
  <w:style w:type="paragraph" w:styleId="840">
    <w:name w:val="table of figures"/>
    <w:basedOn w:val="841"/>
    <w:next w:val="841"/>
    <w:uiPriority w:val="99"/>
    <w:unhideWhenUsed/>
    <w:pPr>
      <w:spacing w:after="0" w:afterAutospacing="0"/>
    </w:pPr>
  </w:style>
  <w:style w:type="paragraph" w:styleId="841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42">
    <w:name w:val="Heading 1"/>
    <w:basedOn w:val="841"/>
    <w:next w:val="841"/>
    <w:link w:val="847"/>
    <w:qFormat/>
    <w:pPr>
      <w:keepNext/>
      <w:outlineLvl w:val="0"/>
    </w:pPr>
    <w:rPr>
      <w:sz w:val="28"/>
    </w:rPr>
  </w:style>
  <w:style w:type="paragraph" w:styleId="843">
    <w:name w:val="Heading 3"/>
    <w:basedOn w:val="841"/>
    <w:next w:val="841"/>
    <w:link w:val="848"/>
    <w:qFormat/>
    <w:pPr>
      <w:jc w:val="center"/>
      <w:keepNext/>
      <w:outlineLvl w:val="2"/>
    </w:pPr>
    <w:rPr>
      <w:b/>
      <w:bCs/>
      <w:spacing w:val="56"/>
      <w:sz w:val="40"/>
    </w:rPr>
  </w:style>
  <w:style w:type="character" w:styleId="844" w:default="1">
    <w:name w:val="Default Paragraph Font"/>
    <w:uiPriority w:val="1"/>
    <w:semiHidden/>
    <w:unhideWhenUsed/>
  </w:style>
  <w:style w:type="table" w:styleId="8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6" w:default="1">
    <w:name w:val="No List"/>
    <w:uiPriority w:val="99"/>
    <w:semiHidden/>
    <w:unhideWhenUsed/>
  </w:style>
  <w:style w:type="character" w:styleId="847" w:customStyle="1">
    <w:name w:val="Заголовок 1 Знак"/>
    <w:basedOn w:val="844"/>
    <w:link w:val="84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848" w:customStyle="1">
    <w:name w:val="Заголовок 3 Знак"/>
    <w:basedOn w:val="844"/>
    <w:link w:val="843"/>
    <w:rPr>
      <w:rFonts w:ascii="Times New Roman" w:hAnsi="Times New Roman" w:eastAsia="Times New Roman" w:cs="Times New Roman"/>
      <w:b/>
      <w:bCs/>
      <w:spacing w:val="56"/>
      <w:sz w:val="40"/>
      <w:szCs w:val="20"/>
      <w:lang w:eastAsia="ru-RU"/>
    </w:rPr>
  </w:style>
  <w:style w:type="table" w:styleId="849">
    <w:name w:val="Table Grid"/>
    <w:basedOn w:val="84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0" w:customStyle="1">
    <w:name w:val="ConsNonformat"/>
    <w:pPr>
      <w:spacing w:after="0" w:line="240" w:lineRule="auto"/>
      <w:widowControl w:val="off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851" w:customStyle="1">
    <w:name w:val="Основной текст_"/>
    <w:basedOn w:val="844"/>
    <w:link w:val="852"/>
    <w:rPr>
      <w:rFonts w:ascii="Times New Roman" w:hAnsi="Times New Roman" w:eastAsia="Times New Roman" w:cs="Times New Roman"/>
      <w:spacing w:val="2"/>
      <w:shd w:val="clear" w:color="auto" w:fill="ffffff"/>
    </w:rPr>
  </w:style>
  <w:style w:type="paragraph" w:styleId="852" w:customStyle="1">
    <w:name w:val="Основной текст1"/>
    <w:basedOn w:val="841"/>
    <w:link w:val="851"/>
    <w:pPr>
      <w:jc w:val="both"/>
      <w:spacing w:after="180" w:line="240" w:lineRule="exact"/>
      <w:shd w:val="clear" w:color="auto" w:fill="ffffff"/>
      <w:widowControl w:val="off"/>
    </w:pPr>
    <w:rPr>
      <w:spacing w:val="2"/>
      <w:sz w:val="22"/>
      <w:szCs w:val="22"/>
      <w:lang w:eastAsia="en-US"/>
    </w:rPr>
  </w:style>
  <w:style w:type="paragraph" w:styleId="853">
    <w:name w:val="Balloon Text"/>
    <w:basedOn w:val="841"/>
    <w:link w:val="854"/>
    <w:uiPriority w:val="99"/>
    <w:semiHidden/>
    <w:unhideWhenUsed/>
    <w:rPr>
      <w:rFonts w:ascii="Tahoma" w:hAnsi="Tahoma" w:cs="Tahoma"/>
      <w:sz w:val="16"/>
      <w:szCs w:val="16"/>
    </w:rPr>
  </w:style>
  <w:style w:type="character" w:styleId="854" w:customStyle="1">
    <w:name w:val="Текст выноски Знак"/>
    <w:basedOn w:val="844"/>
    <w:link w:val="853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855">
    <w:name w:val="List Paragraph"/>
    <w:basedOn w:val="841"/>
    <w:link w:val="857"/>
    <w:uiPriority w:val="1"/>
    <w:qFormat/>
    <w:pPr>
      <w:contextualSpacing/>
      <w:ind w:left="720"/>
    </w:pPr>
  </w:style>
  <w:style w:type="paragraph" w:styleId="856" w:customStyle="1">
    <w:name w:val="ConsPlusNormal"/>
    <w:link w:val="858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character" w:styleId="857" w:customStyle="1">
    <w:name w:val="Абзац списка Знак"/>
    <w:link w:val="855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58" w:customStyle="1">
    <w:name w:val="ConsPlusNormal1"/>
    <w:link w:val="856"/>
    <w:rPr>
      <w:rFonts w:ascii="Calibri" w:hAnsi="Calibri" w:eastAsia="Times New Roman" w:cs="Calibri"/>
      <w:szCs w:val="20"/>
      <w:lang w:eastAsia="ru-RU"/>
    </w:rPr>
  </w:style>
  <w:style w:type="paragraph" w:styleId="859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paragraph" w:styleId="860">
    <w:name w:val="Body Text"/>
    <w:basedOn w:val="841"/>
    <w:link w:val="861"/>
    <w:unhideWhenUsed/>
    <w:pPr>
      <w:jc w:val="both"/>
      <w:tabs>
        <w:tab w:val="left" w:pos="5400" w:leader="none"/>
      </w:tabs>
    </w:pPr>
    <w:rPr>
      <w:sz w:val="28"/>
      <w:szCs w:val="24"/>
    </w:rPr>
  </w:style>
  <w:style w:type="character" w:styleId="861" w:customStyle="1">
    <w:name w:val="Основной текст Знак"/>
    <w:basedOn w:val="844"/>
    <w:link w:val="860"/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862" w:customStyle="1">
    <w:name w:val="Table Paragraph"/>
    <w:basedOn w:val="841"/>
    <w:uiPriority w:val="1"/>
    <w:qFormat/>
    <w:pPr>
      <w:widowControl w:val="off"/>
    </w:pPr>
    <w:rPr>
      <w:sz w:val="22"/>
      <w:szCs w:val="22"/>
      <w:lang w:eastAsia="en-US"/>
    </w:rPr>
  </w:style>
  <w:style w:type="paragraph" w:styleId="863">
    <w:name w:val="No Spacing"/>
    <w:uiPriority w:val="1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Артур</dc:creator>
  <cp:lastModifiedBy>zemlya</cp:lastModifiedBy>
  <cp:revision>24</cp:revision>
  <dcterms:created xsi:type="dcterms:W3CDTF">2019-09-03T03:57:00Z</dcterms:created>
  <dcterms:modified xsi:type="dcterms:W3CDTF">2025-10-09T06:08:20Z</dcterms:modified>
</cp:coreProperties>
</file>