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68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179383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8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68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68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668"/>
        <w:jc w:val="right"/>
      </w:pPr>
      <w:r>
        <w:rPr>
          <w:rFonts w:eastAsia="Calibri"/>
          <w:bCs/>
          <w:szCs w:val="28"/>
        </w:rPr>
        <w:t xml:space="preserve">09.01</w:t>
      </w:r>
      <w:r>
        <w:rPr>
          <w:rFonts w:eastAsia="Calibri"/>
          <w:bCs/>
          <w:szCs w:val="28"/>
        </w:rPr>
        <w:t xml:space="preserve">.2025</w:t>
      </w:r>
      <w:r/>
      <w:r/>
    </w:p>
    <w:p>
      <w:pPr>
        <w:pStyle w:val="1_668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left"/>
        <w:rPr>
          <w:b/>
          <w:bCs/>
          <w:highlight w:val="none"/>
        </w:rPr>
      </w:pPr>
      <w:r>
        <w:rPr>
          <w:rFonts w:eastAsia="Calibri"/>
          <w:b/>
        </w:rPr>
        <w:t xml:space="preserve">Для размещения в социальных сетях Управления</w:t>
      </w:r>
      <w:r/>
      <w:r/>
      <w:r>
        <w:rPr>
          <w:b/>
          <w:szCs w:val="28"/>
          <w:highlight w:val="none"/>
        </w:rPr>
      </w:r>
      <w:r>
        <w:rPr>
          <w:b/>
          <w:szCs w:val="28"/>
          <w:highlight w:val="none"/>
        </w:rPr>
      </w:r>
    </w:p>
    <w:p>
      <w:pPr>
        <w:jc w:val="left"/>
        <w:rPr>
          <w:b/>
          <w:bCs/>
        </w:rPr>
      </w:pPr>
      <w:r>
        <w:rPr>
          <w:b/>
          <w:szCs w:val="28"/>
          <w:highlight w:val="none"/>
        </w:rPr>
      </w:r>
      <w:r>
        <w:rPr>
          <w:b/>
          <w:szCs w:val="28"/>
          <w:highlight w:val="none"/>
        </w:rPr>
      </w:r>
    </w:p>
    <w:p>
      <w:pPr>
        <w:jc w:val="left"/>
        <w:rPr>
          <w:b/>
          <w:bCs/>
          <w:highlight w:val="none"/>
        </w:rPr>
      </w:pPr>
      <w:r>
        <w:rPr>
          <w:b/>
          <w:szCs w:val="28"/>
        </w:rPr>
        <w:t xml:space="preserve">Итоги </w:t>
      </w:r>
      <w:r>
        <w:rPr>
          <w:b/>
          <w:szCs w:val="28"/>
        </w:rPr>
        <w:t xml:space="preserve">федерального </w:t>
      </w:r>
      <w:r>
        <w:rPr>
          <w:b/>
          <w:szCs w:val="28"/>
        </w:rPr>
        <w:t xml:space="preserve">государственного земельного </w:t>
      </w:r>
      <w:r>
        <w:rPr>
          <w:b/>
          <w:szCs w:val="28"/>
        </w:rPr>
        <w:t xml:space="preserve">контроля (</w:t>
      </w:r>
      <w:r>
        <w:rPr>
          <w:b/>
          <w:szCs w:val="28"/>
        </w:rPr>
        <w:t xml:space="preserve">надзора</w:t>
      </w:r>
      <w:r>
        <w:rPr>
          <w:b/>
          <w:szCs w:val="28"/>
        </w:rPr>
        <w:t xml:space="preserve">)</w:t>
      </w:r>
      <w:r>
        <w:rPr>
          <w:b/>
          <w:szCs w:val="28"/>
        </w:rPr>
        <w:t xml:space="preserve"> </w:t>
      </w:r>
      <w:bookmarkStart w:id="0" w:name="_GoBack"/>
      <w:r/>
      <w:bookmarkEnd w:id="0"/>
      <w:r>
        <w:rPr>
          <w:b/>
          <w:szCs w:val="28"/>
        </w:rPr>
        <w:t xml:space="preserve">за </w:t>
      </w:r>
      <w:r>
        <w:rPr>
          <w:b/>
          <w:szCs w:val="28"/>
        </w:rPr>
        <w:t xml:space="preserve">11</w:t>
      </w:r>
      <w:r>
        <w:rPr>
          <w:b/>
          <w:szCs w:val="28"/>
        </w:rPr>
        <w:t xml:space="preserve"> </w:t>
      </w:r>
      <w:r>
        <w:rPr>
          <w:b/>
          <w:szCs w:val="28"/>
        </w:rPr>
        <w:t xml:space="preserve">месяцев 2024 года</w:t>
      </w:r>
      <w:r>
        <w:rPr>
          <w:b/>
          <w:szCs w:val="28"/>
        </w:rPr>
      </w:r>
      <w:r>
        <w:rPr>
          <w:b/>
          <w:bCs/>
          <w:highlight w:val="none"/>
        </w:rPr>
      </w:r>
    </w:p>
    <w:p>
      <w:pPr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  <w:r>
        <w:rPr>
          <w:b/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Федеральный государственный земельный контроль (надзор) в 2024 году</w:t>
      </w:r>
      <w:r>
        <w:rPr>
          <w:szCs w:val="28"/>
        </w:rPr>
        <w:t xml:space="preserve"> реализуется Управлением с учетом ограничений, установленных Постановлением Правительства РФ от 10.03.2022 № 336 «Об особенностях организации                                    и осуществления государственного контроля (надзора), муниципального контроля».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В связи с введенными ограничениями, в 2024 году в рамках федерального государственного земельного контроля (надзора) Управлением проводятся только внеплановые контрольные (надзорные) мероприятия.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Мероприятия со взаимодействием с контролируемыми лицами проводятся после согласования с органами прокуратуры. С января по </w:t>
      </w:r>
      <w:r>
        <w:rPr>
          <w:szCs w:val="28"/>
        </w:rPr>
        <w:t xml:space="preserve">ноябрь текущего года </w:t>
      </w:r>
      <w:r>
        <w:rPr>
          <w:szCs w:val="28"/>
        </w:rPr>
        <w:br/>
      </w:r>
      <w:r>
        <w:rPr>
          <w:szCs w:val="28"/>
        </w:rPr>
        <w:t xml:space="preserve">с прокуратурой Алтайского края согласовано проведение 30</w:t>
      </w:r>
      <w:r>
        <w:rPr>
          <w:szCs w:val="28"/>
        </w:rPr>
        <w:t xml:space="preserve"> внеплановых контрольных (надзорных) мероприятий.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Превалирующее число мероприятий за </w:t>
      </w:r>
      <w:r>
        <w:rPr>
          <w:szCs w:val="28"/>
        </w:rPr>
        <w:t xml:space="preserve">11</w:t>
      </w:r>
      <w:r>
        <w:rPr>
          <w:szCs w:val="28"/>
        </w:rPr>
        <w:t xml:space="preserve"> месяц</w:t>
      </w:r>
      <w:r>
        <w:rPr>
          <w:szCs w:val="28"/>
        </w:rPr>
        <w:t xml:space="preserve">ев</w:t>
      </w:r>
      <w:r>
        <w:rPr>
          <w:szCs w:val="28"/>
        </w:rPr>
        <w:t xml:space="preserve"> 2024 года проводится                       без взаимодействия с контролируемыми лицами, в соответствии с Федеральным законом от 31.07.2020 № 248-ФЗ «О государственном контроле (надзоре)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и муниципальном контроле в Российской Федерации»</w:t>
      </w:r>
      <w:r>
        <w:rPr>
          <w:szCs w:val="28"/>
        </w:rPr>
        <w:t xml:space="preserve">,</w:t>
      </w:r>
      <w:r>
        <w:rPr>
          <w:szCs w:val="28"/>
        </w:rPr>
        <w:t xml:space="preserve"> деятельность Управления нацелена на профилактику нарушений.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Всего за 11</w:t>
      </w:r>
      <w:r>
        <w:rPr>
          <w:szCs w:val="28"/>
        </w:rPr>
        <w:t xml:space="preserve"> месяцев 2024 года проведено</w:t>
      </w:r>
      <w:r>
        <w:rPr>
          <w:szCs w:val="28"/>
        </w:rPr>
        <w:t xml:space="preserve">: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5141</w:t>
      </w:r>
      <w:r>
        <w:rPr>
          <w:szCs w:val="28"/>
        </w:rPr>
        <w:t xml:space="preserve"> контрольное (надзорное) мероприяти</w:t>
      </w:r>
      <w:r>
        <w:rPr>
          <w:szCs w:val="28"/>
        </w:rPr>
        <w:t xml:space="preserve">е, в том числе </w:t>
      </w:r>
      <w:r>
        <w:rPr>
          <w:szCs w:val="28"/>
        </w:rPr>
        <w:t xml:space="preserve">5116</w:t>
      </w:r>
      <w:r>
        <w:rPr>
          <w:szCs w:val="28"/>
        </w:rPr>
        <w:t xml:space="preserve"> мероприятий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без взаимодействия</w:t>
      </w:r>
      <w:r>
        <w:rPr>
          <w:szCs w:val="28"/>
        </w:rPr>
        <w:t xml:space="preserve"> </w:t>
      </w:r>
      <w:r>
        <w:rPr>
          <w:szCs w:val="28"/>
        </w:rPr>
        <w:t xml:space="preserve">с контролируемыми лицами (</w:t>
      </w:r>
      <w:r>
        <w:rPr>
          <w:szCs w:val="28"/>
        </w:rPr>
        <w:t xml:space="preserve">2749 выездных обследований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и </w:t>
      </w:r>
      <w:r>
        <w:rPr>
          <w:szCs w:val="28"/>
        </w:rPr>
        <w:t xml:space="preserve">2367</w:t>
      </w:r>
      <w:r>
        <w:rPr>
          <w:szCs w:val="28"/>
        </w:rPr>
        <w:t xml:space="preserve"> наблюдени</w:t>
      </w:r>
      <w:r>
        <w:rPr>
          <w:szCs w:val="28"/>
        </w:rPr>
        <w:t xml:space="preserve">й</w:t>
      </w:r>
      <w:r>
        <w:rPr>
          <w:szCs w:val="28"/>
        </w:rPr>
        <w:t xml:space="preserve"> </w:t>
      </w:r>
      <w:r>
        <w:rPr>
          <w:szCs w:val="28"/>
        </w:rPr>
        <w:t xml:space="preserve">за соблюдением обязательных</w:t>
      </w:r>
      <w:r>
        <w:rPr>
          <w:szCs w:val="28"/>
        </w:rPr>
        <w:t xml:space="preserve"> </w:t>
      </w:r>
      <w:r>
        <w:rPr>
          <w:szCs w:val="28"/>
        </w:rPr>
        <w:t xml:space="preserve">требований)</w:t>
      </w:r>
      <w:r>
        <w:rPr>
          <w:szCs w:val="28"/>
        </w:rPr>
        <w:t xml:space="preserve">;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szCs w:val="28"/>
        </w:rPr>
      </w:pPr>
      <w:r>
        <w:rPr>
          <w:szCs w:val="28"/>
        </w:rPr>
        <w:t xml:space="preserve">25 </w:t>
      </w:r>
      <w:r>
        <w:rPr>
          <w:szCs w:val="28"/>
        </w:rPr>
        <w:t xml:space="preserve">контрольных (надзорных) мероприятий </w:t>
      </w:r>
      <w:r>
        <w:rPr>
          <w:szCs w:val="28"/>
        </w:rPr>
        <w:t xml:space="preserve">при</w:t>
      </w:r>
      <w:r>
        <w:rPr>
          <w:szCs w:val="28"/>
        </w:rPr>
        <w:t xml:space="preserve"> взаимодействи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с контролируемыми лицами (4 выездные проверки, 16</w:t>
      </w:r>
      <w:r>
        <w:rPr>
          <w:szCs w:val="28"/>
        </w:rPr>
        <w:t xml:space="preserve"> инспекционны</w:t>
      </w:r>
      <w:r>
        <w:rPr>
          <w:szCs w:val="28"/>
        </w:rPr>
        <w:t xml:space="preserve">х</w:t>
      </w:r>
      <w:r>
        <w:rPr>
          <w:szCs w:val="28"/>
        </w:rPr>
        <w:t xml:space="preserve"> визит</w:t>
      </w:r>
      <w:r>
        <w:rPr>
          <w:szCs w:val="28"/>
        </w:rPr>
        <w:t xml:space="preserve">ов</w:t>
      </w: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szCs w:val="28"/>
        </w:rPr>
        <w:t xml:space="preserve">и </w:t>
      </w:r>
      <w:r>
        <w:rPr>
          <w:szCs w:val="28"/>
        </w:rPr>
        <w:t xml:space="preserve">5 </w:t>
      </w:r>
      <w:r>
        <w:rPr>
          <w:szCs w:val="28"/>
        </w:rPr>
        <w:t xml:space="preserve">рейдовы</w:t>
      </w:r>
      <w:r>
        <w:rPr>
          <w:szCs w:val="28"/>
        </w:rPr>
        <w:t xml:space="preserve">х</w:t>
      </w:r>
      <w:r>
        <w:rPr>
          <w:szCs w:val="28"/>
        </w:rPr>
        <w:t xml:space="preserve"> осмотр</w:t>
      </w:r>
      <w:r>
        <w:rPr>
          <w:szCs w:val="28"/>
        </w:rPr>
        <w:t xml:space="preserve">ов)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567"/>
        <w:jc w:val="both"/>
        <w:rPr>
          <w:highlight w:val="none"/>
        </w:rPr>
      </w:pPr>
      <w:r>
        <w:rPr>
          <w:szCs w:val="28"/>
        </w:rPr>
        <w:t xml:space="preserve">Признаки нарушений земельного законодательства выявлены на </w:t>
      </w:r>
      <w:r>
        <w:rPr>
          <w:szCs w:val="28"/>
        </w:rPr>
        <w:t xml:space="preserve">2676</w:t>
      </w:r>
      <w:r>
        <w:rPr>
          <w:szCs w:val="28"/>
        </w:rPr>
        <w:t xml:space="preserve"> участках, объявлено 2034</w:t>
      </w:r>
      <w:r>
        <w:rPr>
          <w:szCs w:val="28"/>
        </w:rPr>
        <w:t xml:space="preserve"> предостережения о недопустимости нарушения обязательных требований.</w:t>
      </w:r>
      <w:r>
        <w:rPr>
          <w:highlight w:val="none"/>
        </w:rPr>
      </w:r>
      <w:r>
        <w:rPr>
          <w:highlight w:val="none"/>
        </w:rPr>
      </w:r>
    </w:p>
    <w:p>
      <w:pPr>
        <w:ind w:firstLine="567"/>
        <w:jc w:val="both"/>
      </w:pPr>
      <w:r>
        <w:rPr>
          <w:szCs w:val="28"/>
          <w:highlight w:val="none"/>
        </w:rPr>
        <w:t xml:space="preserve">К административной ответственности привлечено 22 нарушителя земельного законодательства, из них 9 – за самовольное занятие земельного участка (ст. 7.1 КоАП РФ), и 13 – за использование земельного участка не по целевому назначению (ч. 1 ст. 8.8 КоАП РФ).</w:t>
      </w:r>
      <w:r>
        <w:rPr>
          <w:szCs w:val="28"/>
          <w:highlight w:val="none"/>
        </w:rPr>
      </w:r>
      <w:r/>
    </w:p>
    <w:p>
      <w:pPr>
        <w:ind w:firstLine="567"/>
        <w:jc w:val="both"/>
        <w:rPr>
          <w:b/>
          <w:szCs w:val="28"/>
        </w:rPr>
      </w:pPr>
      <w:r>
        <w:rPr>
          <w:szCs w:val="28"/>
        </w:rPr>
        <w:t xml:space="preserve">Мероприятия по федеральному государственному земельному контролю (надзору) проведены на </w:t>
      </w:r>
      <w:r>
        <w:rPr>
          <w:szCs w:val="28"/>
        </w:rPr>
        <w:t xml:space="preserve">землях</w:t>
      </w:r>
      <w:r>
        <w:rPr>
          <w:szCs w:val="28"/>
        </w:rPr>
        <w:t xml:space="preserve"> Алтайского края общей</w:t>
      </w:r>
      <w:r>
        <w:rPr>
          <w:b/>
          <w:szCs w:val="28"/>
        </w:rPr>
        <w:t xml:space="preserve"> площадью </w:t>
      </w:r>
      <w:r>
        <w:rPr>
          <w:b/>
          <w:szCs w:val="28"/>
        </w:rPr>
        <w:t xml:space="preserve">498,11</w:t>
      </w:r>
      <w:r>
        <w:rPr>
          <w:b/>
          <w:szCs w:val="28"/>
        </w:rPr>
        <w:t xml:space="preserve"> тыс. га.</w:t>
      </w:r>
      <w:r>
        <w:rPr>
          <w:b/>
          <w:szCs w:val="28"/>
        </w:rPr>
      </w:r>
      <w:r>
        <w:rPr>
          <w:b/>
          <w:szCs w:val="28"/>
        </w:rPr>
      </w:r>
    </w:p>
    <w:p>
      <w:r/>
      <w:r/>
    </w:p>
    <w:p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64801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14282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480174" cy="6480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0.25pt;height:510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68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  <w:r/>
    </w:p>
    <w:p>
      <w:pPr>
        <w:pStyle w:val="1_668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1_668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  <w:r/>
    </w:p>
    <w:p>
      <w:pPr>
        <w:pStyle w:val="1_668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  <w:r/>
    </w:p>
    <w:p>
      <w:pPr>
        <w:pStyle w:val="1_668"/>
      </w:pPr>
      <w:r/>
      <w:hyperlink r:id="rId11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  <w:r/>
    </w:p>
    <w:p>
      <w:pPr>
        <w:pStyle w:val="1_668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2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3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  <w:r/>
    </w:p>
    <w:p>
      <w:pPr>
        <w:pStyle w:val="1_668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  <w:r/>
    </w:p>
    <w:p>
      <w:pPr>
        <w:pStyle w:val="1_668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rPr>
          <w:highlight w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28"/>
    <w:next w:val="828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29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28"/>
    <w:next w:val="828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29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28"/>
    <w:next w:val="828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29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28"/>
    <w:next w:val="828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29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28"/>
    <w:next w:val="828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29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28"/>
    <w:next w:val="828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29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28"/>
    <w:next w:val="828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29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28"/>
    <w:next w:val="828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29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28"/>
    <w:next w:val="828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29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28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28"/>
    <w:next w:val="828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29"/>
    <w:link w:val="674"/>
    <w:uiPriority w:val="10"/>
    <w:rPr>
      <w:sz w:val="48"/>
      <w:szCs w:val="48"/>
    </w:rPr>
  </w:style>
  <w:style w:type="paragraph" w:styleId="676">
    <w:name w:val="Subtitle"/>
    <w:basedOn w:val="828"/>
    <w:next w:val="828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29"/>
    <w:link w:val="676"/>
    <w:uiPriority w:val="11"/>
    <w:rPr>
      <w:sz w:val="24"/>
      <w:szCs w:val="24"/>
    </w:rPr>
  </w:style>
  <w:style w:type="paragraph" w:styleId="678">
    <w:name w:val="Quote"/>
    <w:basedOn w:val="828"/>
    <w:next w:val="828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28"/>
    <w:next w:val="828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character" w:styleId="682">
    <w:name w:val="Header Char"/>
    <w:basedOn w:val="829"/>
    <w:link w:val="834"/>
    <w:uiPriority w:val="99"/>
  </w:style>
  <w:style w:type="character" w:styleId="683">
    <w:name w:val="Footer Char"/>
    <w:basedOn w:val="829"/>
    <w:link w:val="836"/>
    <w:uiPriority w:val="99"/>
  </w:style>
  <w:style w:type="paragraph" w:styleId="684">
    <w:name w:val="Caption"/>
    <w:basedOn w:val="828"/>
    <w:next w:val="8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836"/>
    <w:uiPriority w:val="99"/>
  </w:style>
  <w:style w:type="table" w:styleId="686">
    <w:name w:val="Table Grid"/>
    <w:basedOn w:val="8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character" w:styleId="813">
    <w:name w:val="Footnote Text Char"/>
    <w:link w:val="840"/>
    <w:uiPriority w:val="99"/>
    <w:rPr>
      <w:sz w:val="18"/>
    </w:rPr>
  </w:style>
  <w:style w:type="paragraph" w:styleId="814">
    <w:name w:val="endnote text"/>
    <w:basedOn w:val="828"/>
    <w:link w:val="815"/>
    <w:uiPriority w:val="99"/>
    <w:semiHidden/>
    <w:unhideWhenUsed/>
    <w:pPr>
      <w:spacing w:after="0" w:line="240" w:lineRule="auto"/>
    </w:pPr>
    <w:rPr>
      <w:sz w:val="20"/>
    </w:rPr>
  </w:style>
  <w:style w:type="character" w:styleId="815">
    <w:name w:val="Endnote Text Char"/>
    <w:link w:val="814"/>
    <w:uiPriority w:val="99"/>
    <w:rPr>
      <w:sz w:val="20"/>
    </w:rPr>
  </w:style>
  <w:style w:type="character" w:styleId="816">
    <w:name w:val="endnote reference"/>
    <w:basedOn w:val="829"/>
    <w:uiPriority w:val="99"/>
    <w:semiHidden/>
    <w:unhideWhenUsed/>
    <w:rPr>
      <w:vertAlign w:val="superscript"/>
    </w:rPr>
  </w:style>
  <w:style w:type="paragraph" w:styleId="817">
    <w:name w:val="toc 1"/>
    <w:basedOn w:val="828"/>
    <w:next w:val="828"/>
    <w:uiPriority w:val="39"/>
    <w:unhideWhenUsed/>
    <w:pPr>
      <w:ind w:left="0" w:right="0" w:firstLine="0"/>
      <w:spacing w:after="57"/>
    </w:pPr>
  </w:style>
  <w:style w:type="paragraph" w:styleId="818">
    <w:name w:val="toc 2"/>
    <w:basedOn w:val="828"/>
    <w:next w:val="828"/>
    <w:uiPriority w:val="39"/>
    <w:unhideWhenUsed/>
    <w:pPr>
      <w:ind w:left="283" w:right="0" w:firstLine="0"/>
      <w:spacing w:after="57"/>
    </w:pPr>
  </w:style>
  <w:style w:type="paragraph" w:styleId="819">
    <w:name w:val="toc 3"/>
    <w:basedOn w:val="828"/>
    <w:next w:val="828"/>
    <w:uiPriority w:val="39"/>
    <w:unhideWhenUsed/>
    <w:pPr>
      <w:ind w:left="567" w:right="0" w:firstLine="0"/>
      <w:spacing w:after="57"/>
    </w:pPr>
  </w:style>
  <w:style w:type="paragraph" w:styleId="820">
    <w:name w:val="toc 4"/>
    <w:basedOn w:val="828"/>
    <w:next w:val="828"/>
    <w:uiPriority w:val="39"/>
    <w:unhideWhenUsed/>
    <w:pPr>
      <w:ind w:left="850" w:right="0" w:firstLine="0"/>
      <w:spacing w:after="57"/>
    </w:pPr>
  </w:style>
  <w:style w:type="paragraph" w:styleId="821">
    <w:name w:val="toc 5"/>
    <w:basedOn w:val="828"/>
    <w:next w:val="828"/>
    <w:uiPriority w:val="39"/>
    <w:unhideWhenUsed/>
    <w:pPr>
      <w:ind w:left="1134" w:right="0" w:firstLine="0"/>
      <w:spacing w:after="57"/>
    </w:pPr>
  </w:style>
  <w:style w:type="paragraph" w:styleId="822">
    <w:name w:val="toc 6"/>
    <w:basedOn w:val="828"/>
    <w:next w:val="828"/>
    <w:uiPriority w:val="39"/>
    <w:unhideWhenUsed/>
    <w:pPr>
      <w:ind w:left="1417" w:right="0" w:firstLine="0"/>
      <w:spacing w:after="57"/>
    </w:pPr>
  </w:style>
  <w:style w:type="paragraph" w:styleId="823">
    <w:name w:val="toc 7"/>
    <w:basedOn w:val="828"/>
    <w:next w:val="828"/>
    <w:uiPriority w:val="39"/>
    <w:unhideWhenUsed/>
    <w:pPr>
      <w:ind w:left="1701" w:right="0" w:firstLine="0"/>
      <w:spacing w:after="57"/>
    </w:pPr>
  </w:style>
  <w:style w:type="paragraph" w:styleId="824">
    <w:name w:val="toc 8"/>
    <w:basedOn w:val="828"/>
    <w:next w:val="828"/>
    <w:uiPriority w:val="39"/>
    <w:unhideWhenUsed/>
    <w:pPr>
      <w:ind w:left="1984" w:right="0" w:firstLine="0"/>
      <w:spacing w:after="57"/>
    </w:pPr>
  </w:style>
  <w:style w:type="paragraph" w:styleId="825">
    <w:name w:val="toc 9"/>
    <w:basedOn w:val="828"/>
    <w:next w:val="828"/>
    <w:uiPriority w:val="39"/>
    <w:unhideWhenUsed/>
    <w:pPr>
      <w:ind w:left="2268" w:right="0" w:firstLine="0"/>
      <w:spacing w:after="57"/>
    </w:pPr>
  </w:style>
  <w:style w:type="paragraph" w:styleId="826">
    <w:name w:val="TOC Heading"/>
    <w:uiPriority w:val="39"/>
    <w:unhideWhenUsed/>
  </w:style>
  <w:style w:type="paragraph" w:styleId="827">
    <w:name w:val="table of figures"/>
    <w:basedOn w:val="828"/>
    <w:next w:val="828"/>
    <w:uiPriority w:val="99"/>
    <w:unhideWhenUsed/>
    <w:pPr>
      <w:spacing w:after="0" w:afterAutospacing="0"/>
    </w:pPr>
  </w:style>
  <w:style w:type="paragraph" w:styleId="828" w:default="1">
    <w:name w:val="Normal"/>
    <w:qFormat/>
    <w:rPr>
      <w:rFonts w:ascii="Times New Roman" w:hAnsi="Times New Roman" w:eastAsia="Times New Roman"/>
      <w:sz w:val="28"/>
    </w:rPr>
  </w:style>
  <w:style w:type="character" w:styleId="829" w:default="1">
    <w:name w:val="Default Paragraph Font"/>
    <w:uiPriority w:val="1"/>
    <w:semiHidden/>
    <w:unhideWhenUsed/>
  </w:style>
  <w:style w:type="table" w:styleId="83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1" w:default="1">
    <w:name w:val="No List"/>
    <w:uiPriority w:val="99"/>
    <w:semiHidden/>
    <w:unhideWhenUsed/>
  </w:style>
  <w:style w:type="paragraph" w:styleId="832">
    <w:name w:val="Body Text"/>
    <w:basedOn w:val="828"/>
    <w:link w:val="833"/>
    <w:pPr>
      <w:spacing w:after="120"/>
    </w:pPr>
  </w:style>
  <w:style w:type="character" w:styleId="833" w:customStyle="1">
    <w:name w:val="Основной текст Знак"/>
    <w:link w:val="832"/>
    <w:rPr>
      <w:rFonts w:ascii="Times New Roman" w:hAnsi="Times New Roman" w:eastAsia="Times New Roman"/>
      <w:sz w:val="28"/>
    </w:rPr>
  </w:style>
  <w:style w:type="paragraph" w:styleId="834">
    <w:name w:val="Header"/>
    <w:basedOn w:val="828"/>
    <w:link w:val="83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5" w:customStyle="1">
    <w:name w:val="Верхний колонтитул Знак"/>
    <w:link w:val="834"/>
    <w:uiPriority w:val="99"/>
    <w:rPr>
      <w:rFonts w:ascii="Times New Roman" w:hAnsi="Times New Roman" w:eastAsia="Times New Roman"/>
      <w:sz w:val="28"/>
    </w:rPr>
  </w:style>
  <w:style w:type="paragraph" w:styleId="836">
    <w:name w:val="Footer"/>
    <w:basedOn w:val="828"/>
    <w:link w:val="837"/>
    <w:unhideWhenUsed/>
    <w:pPr>
      <w:tabs>
        <w:tab w:val="center" w:pos="4677" w:leader="none"/>
        <w:tab w:val="right" w:pos="9355" w:leader="none"/>
      </w:tabs>
    </w:pPr>
  </w:style>
  <w:style w:type="character" w:styleId="837" w:customStyle="1">
    <w:name w:val="Нижний колонтитул Знак"/>
    <w:link w:val="836"/>
    <w:rPr>
      <w:rFonts w:ascii="Times New Roman" w:hAnsi="Times New Roman" w:eastAsia="Times New Roman"/>
      <w:sz w:val="28"/>
    </w:rPr>
  </w:style>
  <w:style w:type="paragraph" w:styleId="838">
    <w:name w:val="Balloon Text"/>
    <w:basedOn w:val="828"/>
    <w:link w:val="839"/>
    <w:uiPriority w:val="99"/>
    <w:semiHidden/>
    <w:unhideWhenUsed/>
    <w:rPr>
      <w:rFonts w:ascii="Tahoma" w:hAnsi="Tahoma" w:cs="Tahoma"/>
      <w:sz w:val="16"/>
      <w:szCs w:val="16"/>
    </w:rPr>
  </w:style>
  <w:style w:type="character" w:styleId="839" w:customStyle="1">
    <w:name w:val="Текст выноски Знак"/>
    <w:link w:val="838"/>
    <w:uiPriority w:val="99"/>
    <w:semiHidden/>
    <w:rPr>
      <w:rFonts w:ascii="Tahoma" w:hAnsi="Tahoma" w:eastAsia="Times New Roman" w:cs="Tahoma"/>
      <w:sz w:val="16"/>
      <w:szCs w:val="16"/>
    </w:rPr>
  </w:style>
  <w:style w:type="paragraph" w:styleId="840">
    <w:name w:val="footnote text"/>
    <w:basedOn w:val="828"/>
    <w:link w:val="841"/>
    <w:uiPriority w:val="99"/>
    <w:semiHidden/>
    <w:unhideWhenUsed/>
    <w:rPr>
      <w:sz w:val="20"/>
    </w:rPr>
  </w:style>
  <w:style w:type="character" w:styleId="841" w:customStyle="1">
    <w:name w:val="Текст сноски Знак"/>
    <w:basedOn w:val="829"/>
    <w:link w:val="840"/>
    <w:uiPriority w:val="99"/>
    <w:semiHidden/>
    <w:rPr>
      <w:rFonts w:ascii="Times New Roman" w:hAnsi="Times New Roman" w:eastAsia="Times New Roman"/>
    </w:rPr>
  </w:style>
  <w:style w:type="character" w:styleId="842">
    <w:name w:val="footnote reference"/>
    <w:basedOn w:val="829"/>
    <w:unhideWhenUsed/>
    <w:qFormat/>
    <w:rPr>
      <w:vertAlign w:val="superscript"/>
    </w:rPr>
  </w:style>
  <w:style w:type="paragraph" w:styleId="843">
    <w:name w:val="Normal (Web)"/>
    <w:basedOn w:val="828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  <w:style w:type="paragraph" w:styleId="844" w:customStyle="1">
    <w:name w:val="Default"/>
    <w:rPr>
      <w:rFonts w:ascii="Times New Roman" w:hAnsi="Times New Roman"/>
      <w:color w:val="000000"/>
      <w:sz w:val="24"/>
      <w:szCs w:val="24"/>
    </w:rPr>
  </w:style>
  <w:style w:type="paragraph" w:styleId="1_668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12" Type="http://schemas.openxmlformats.org/officeDocument/2006/relationships/hyperlink" Target="http://www.rosreestr.gov.ru/" TargetMode="External"/><Relationship Id="rId13" Type="http://schemas.openxmlformats.org/officeDocument/2006/relationships/hyperlink" Target="https://dzen.ru/id/6392ad9bbc8b8d2fd42961a7" TargetMode="External"/><Relationship Id="rId14" Type="http://schemas.openxmlformats.org/officeDocument/2006/relationships/hyperlink" Target="https://vk.com/rosreestr_altaiskii_krai" TargetMode="External"/><Relationship Id="rId15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EF9F1-7CF1-4E7D-B549-3F700FD9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Grizli777</Company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R22CAM03071988</dc:creator>
  <cp:revision>6</cp:revision>
  <dcterms:created xsi:type="dcterms:W3CDTF">2024-10-01T09:30:00Z</dcterms:created>
  <dcterms:modified xsi:type="dcterms:W3CDTF">2025-01-16T08:07:15Z</dcterms:modified>
</cp:coreProperties>
</file>